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АДМИНИСТРАЦИЯ</w:t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МАНТУРОВСКОГО РАЙОНА</w:t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КУРСКОЙ ОБЛАСТИ</w:t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</w:r>
    </w:p>
    <w:p>
      <w:pPr>
        <w:pStyle w:val="Style21"/>
        <w:ind w:firstLine="720"/>
        <w:jc w:val="center"/>
        <w:rPr>
          <w:rFonts w:ascii="Arial" w:hAnsi="Arial"/>
          <w:b/>
          <w:bCs/>
          <w:kern w:val="2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ПОСТАНОВЛЕНИЕ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от 14 марта 2024 года №101</w:t>
      </w:r>
    </w:p>
    <w:p>
      <w:pPr>
        <w:pStyle w:val="Style21"/>
        <w:ind w:firstLine="720"/>
        <w:jc w:val="center"/>
        <w:rPr>
          <w:b/>
          <w:bCs/>
          <w:kern w:val="2"/>
        </w:rPr>
      </w:pPr>
      <w:r>
        <w:rPr>
          <w:b/>
          <w:bCs/>
          <w:kern w:val="2"/>
        </w:rPr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 xml:space="preserve">О внесении изменений в постановление 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Администрации Мантуровского района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Курской области  от 29.03.2017г. № 89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« Об утверждении муниципальной программы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>«Развитие образования Мантуровского района</w:t>
      </w:r>
    </w:p>
    <w:p>
      <w:pPr>
        <w:pStyle w:val="Style21"/>
        <w:ind w:firstLine="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kern w:val="2"/>
          <w:sz w:val="32"/>
          <w:szCs w:val="32"/>
        </w:rPr>
        <w:t xml:space="preserve">Курской области» 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</w:t>
      </w:r>
      <w:r>
        <w:rPr>
          <w:rFonts w:cs="Times New Roman" w:ascii="Arial" w:hAnsi="Arial"/>
          <w:sz w:val="24"/>
          <w:szCs w:val="24"/>
        </w:rPr>
        <w:t>В соответствии со статьей 179 Бюджетным кодексом РФ, Указом Президента Российской Федерации от 09.05.2017г №203 «О стратегии развития информационного общества в Российской Федерации на 2017-2030 годы», постановлениями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 области» (в редакции от 30.08.2017г. №339), от 07.11.2022г. №864«О внесении изменений в постановление Администрации  Мантуровского района Курской области от 18.11.2019 г.№604 «Об утверждении Перечня муниципальных программ Мантуровского района Курской области»,Администрация Мантуровского района Курской области ПОСТАНОВЛЯЕТ:</w:t>
      </w:r>
    </w:p>
    <w:p>
      <w:pPr>
        <w:pStyle w:val="Style1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</w:t>
      </w:r>
      <w:r>
        <w:rPr>
          <w:rFonts w:cs="Times New Roman" w:ascii="Arial" w:hAnsi="Arial"/>
          <w:sz w:val="24"/>
          <w:szCs w:val="24"/>
        </w:rPr>
        <w:t>1.Утвердить прилагаемые изменения, которые вносятся в муниципальную программу  Развитие образования Мантуровского района  Курской области» утвержденной постановлением Администрации Мантуровского района Курской области от 29.03.2017г.  № 89. (в редакции  от 10.10.2017г. №94  ,  от12.03.2018г. № 142  ,  от 29.12.2018г. № 777, от 18.02.2019г. № 101,  от19.03.2019г. № 144  ,  от 22.11.2019г. № 626  ,  от 27.12.2019г. №773  ,от 17.01.2020г. № 9,  от 20.01.2020г. № 13,  от 08.05.2020г. №259  ,  от 24.09.2020г. № 459  ,   от 01.10.2020г. № 530,  от 30.10.2020г. №595  , от 21.12.2020г. № 707, от 01.03.2021г. №94  , от 21.01.2022г.№57, от 06.05.2022г. №504, от 22.11.2022г. №912,  от 12.01.2023 г. №9, от 28.02.2023 г. №86, от 07.07.2023 г. №290).</w:t>
      </w:r>
    </w:p>
    <w:p>
      <w:pPr>
        <w:pStyle w:val="Style1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</w:t>
      </w:r>
      <w:r>
        <w:rPr>
          <w:rFonts w:cs="Times New Roman" w:ascii="Arial" w:hAnsi="Arial"/>
          <w:sz w:val="24"/>
          <w:szCs w:val="24"/>
        </w:rPr>
        <w:t>2.Контроль за исполнением настоящего постановления возложить на исполняющего обязанности  начальника Управления образования Павлова Э. Н.</w:t>
      </w:r>
    </w:p>
    <w:p>
      <w:pPr>
        <w:pStyle w:val="Style18"/>
        <w:tabs>
          <w:tab w:val="clear" w:pos="708"/>
          <w:tab w:val="left" w:pos="70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</w:t>
      </w:r>
      <w:r>
        <w:rPr>
          <w:rFonts w:cs="Times New Roman" w:ascii="Arial" w:hAnsi="Arial"/>
          <w:sz w:val="24"/>
          <w:szCs w:val="24"/>
        </w:rPr>
        <w:t>3.Постановление вступает в силу со дня его подписания и распространяется  на ранее возникшие правоотношения.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ind w:firstLine="284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Style18"/>
        <w:ind w:firstLine="284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Style18"/>
        <w:ind w:firstLine="284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Style18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Глава Мантуровского района</w:t>
      </w:r>
    </w:p>
    <w:p>
      <w:pPr>
        <w:pStyle w:val="Style18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Курской области                                                                        С.Н.Бочаров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ind w:left="5103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Утверждены</w:t>
      </w:r>
    </w:p>
    <w:p>
      <w:pPr>
        <w:pStyle w:val="Style18"/>
        <w:ind w:left="5103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Постановлением Администрации Мантуровского района Курской области</w:t>
      </w:r>
    </w:p>
    <w:p>
      <w:pPr>
        <w:pStyle w:val="Style18"/>
        <w:ind w:left="5103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от ________2024г. №____</w:t>
      </w:r>
    </w:p>
    <w:p>
      <w:pPr>
        <w:pStyle w:val="Style18"/>
        <w:ind w:left="5103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ind w:left="5103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Изменения,</w:t>
      </w:r>
    </w:p>
    <w:p>
      <w:pPr>
        <w:pStyle w:val="Style18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которые вносятся в муниципальную программу</w:t>
      </w:r>
    </w:p>
    <w:p>
      <w:pPr>
        <w:pStyle w:val="Style18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«Развитие образования Мантуровского района Курской области»</w:t>
      </w:r>
    </w:p>
    <w:p>
      <w:pPr>
        <w:pStyle w:val="Style18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 В паспорте муниципальной программы «Развитие образования Мантуровского района Курской области»: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1.1. «Объём бюджетных ассигнований муниципальной программы изложить в следующей редакции: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2020- 321014555,92руб.;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2021- 353497690,50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2022- 408606923,61 руб.;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2023- 418263417,69 руб.;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2024- 375610915,58 руб.;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2025- 337504732,00 руб.;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2026- 327403366,00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1.1.2. Таблицу «Объём финансирования мероприятий программы на 2017-2026 годы» изложить в новой редакции (приложение 1)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1.2. В подпрограмме 1 «Управление муниципальной программой и обеспечение условий реализации» таблицу «Финансовое обеспечение на 2020-2026 годы» изложить в новой редакции (приложение 2);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1.3. В подпрограмме 2 «Развитие дошкольного и общего образования» в паспорте подпрограммы «Развитие дошкольного и общего образования детей» муниципальной программы «Развитие образования Мантуровского района Курской области» :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Дошкольное образование детей: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2020 год — 39636814,11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2021 год — 35563712 руб.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2022 год — 57012683,22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2023 год — 51119724,68 руб. </w:t>
      </w:r>
    </w:p>
    <w:p>
      <w:pPr>
        <w:pStyle w:val="Normal"/>
        <w:rPr>
          <w:rFonts w:ascii="Arial" w:hAnsi="Arial"/>
          <w:sz w:val="24"/>
          <w:szCs w:val="24"/>
        </w:rPr>
      </w:pPr>
      <w:bookmarkStart w:id="0" w:name="__DdeLink__1816_689863062"/>
      <w:bookmarkEnd w:id="0"/>
      <w:r>
        <w:rPr>
          <w:rFonts w:cs="Times New Roman" w:ascii="Arial" w:hAnsi="Arial"/>
          <w:sz w:val="24"/>
          <w:szCs w:val="24"/>
        </w:rPr>
        <w:t>2024 год — 55946969,79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2025 год- 49055888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2026 год- 48055392,00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Общее образование детей: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2020 год — 220930195,52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2021 год —242064035 руб.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2022 год — 311378445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2023 год — 346953705,45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2024 год — 284809714,23 руб.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2025 год — 268992900,00 руб.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2026 год- 259523782,00 руб..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jc w:val="both"/>
        <w:rPr>
          <w:rFonts w:ascii="Arial" w:hAnsi="Arial"/>
          <w:sz w:val="24"/>
          <w:szCs w:val="24"/>
        </w:rPr>
      </w:pPr>
      <w:bookmarkStart w:id="1" w:name="__DdeLink__2191_360415395"/>
      <w:bookmarkEnd w:id="1"/>
      <w:r>
        <w:rPr>
          <w:rFonts w:cs="Times New Roman" w:ascii="Arial" w:hAnsi="Arial"/>
          <w:sz w:val="24"/>
          <w:szCs w:val="24"/>
        </w:rPr>
        <w:t>4.Таблицу «Прогнозируемые значения целевых индикаторов и показателей районной муниципальной программы «Развитие образования в Мантуровском районе» п.7 «Оценка результатов реализации программы» изложить в новой редакции: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8223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1"/>
        <w:gridCol w:w="2377"/>
        <w:gridCol w:w="1239"/>
        <w:gridCol w:w="955"/>
        <w:gridCol w:w="954"/>
        <w:gridCol w:w="954"/>
        <w:gridCol w:w="633"/>
        <w:gridCol w:w="629"/>
      </w:tblGrid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п/п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Индикаторов и показателей целей и задач Программы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Измерения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2022год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2023год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2024год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2025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граждан, удовлетворенным полученным образованием (по результатам социологических исследований)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99,5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99,5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обучающихся, принявших участие во всероссийских, областных  и муниципальных массовых мероприятиях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87,5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87,5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90,5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Охват семей, имеющих детей-инвалидов, обучающихся в различных формах образования, в том числе интегрированных, надомных, дистанционных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Охват выпускников, сдавших  ЕГЭ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Численность обучающихся муниципальных общеобразовательных организаций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356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370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Единиц, ученико-мест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spacing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к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  <w:p>
            <w:pPr>
              <w:pStyle w:val="Normal"/>
              <w:spacing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общем количестве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</w:tbl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3.Таблицу «Сведения о показателях (индикаторах) муниципальной программы «Развитие образования в Мантуровском районе» изложить в новой редакции: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8275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62"/>
        <w:gridCol w:w="2749"/>
        <w:gridCol w:w="1214"/>
        <w:gridCol w:w="730"/>
        <w:gridCol w:w="730"/>
        <w:gridCol w:w="731"/>
        <w:gridCol w:w="729"/>
        <w:gridCol w:w="729"/>
      </w:tblGrid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№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2022</w:t>
            </w:r>
          </w:p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2023</w:t>
            </w:r>
          </w:p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2024</w:t>
            </w:r>
          </w:p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2025</w:t>
            </w:r>
          </w:p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2026</w:t>
            </w:r>
          </w:p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год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Отношение численности детей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3-7 лет, которым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предоставлена возможность </w:t>
            </w: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получать услуги дошкольного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образования, к численности детей в возрасте </w:t>
            </w:r>
            <w:r>
              <w:rPr>
                <w:rFonts w:cs="Times New Roman" w:ascii="Arial" w:hAnsi="Arial"/>
                <w:spacing w:val="30"/>
                <w:sz w:val="24"/>
                <w:szCs w:val="24"/>
              </w:rPr>
              <w:t>3-7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лет, скорректированной на численность детей в возрасте 5-7 лет, обучающихся в школе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4"/>
                <w:sz w:val="24"/>
                <w:szCs w:val="24"/>
              </w:rPr>
              <w:t xml:space="preserve">Удельный вес численности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населения в возрасте 7-18 лет, обучающихся в образовательных организациях, в общей </w:t>
            </w: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численности населения в </w:t>
            </w:r>
            <w:r>
              <w:rPr>
                <w:rFonts w:cs="Times New Roman" w:ascii="Arial" w:hAnsi="Arial"/>
                <w:sz w:val="24"/>
                <w:szCs w:val="24"/>
              </w:rPr>
              <w:t>возрасте 7-18 лет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99,8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Удельный вес численности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детей в возрасте </w:t>
            </w:r>
            <w:r>
              <w:rPr>
                <w:rFonts w:cs="Times New Roman" w:ascii="Arial" w:hAnsi="Arial"/>
                <w:spacing w:val="11"/>
                <w:sz w:val="24"/>
                <w:szCs w:val="24"/>
              </w:rPr>
              <w:t>5-18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лет, получающих услуги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дополнительного образования, </w:t>
            </w:r>
            <w:r>
              <w:rPr>
                <w:rFonts w:cs="Times New Roman" w:ascii="Arial" w:hAnsi="Arial"/>
                <w:sz w:val="24"/>
                <w:szCs w:val="24"/>
              </w:rPr>
              <w:t>в общей численности детей в возрасте 5-18 лет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78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Доля выпускников муниципальных общеобразовательных организаций, не сдавших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Единый государственный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экзамен по русскому языку и </w:t>
            </w: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(или) математике, в общей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>численности выпускников м</w:t>
            </w:r>
            <w:r>
              <w:rPr>
                <w:rFonts w:cs="Times New Roman" w:ascii="Arial" w:hAnsi="Arial"/>
                <w:sz w:val="24"/>
                <w:szCs w:val="24"/>
              </w:rPr>
              <w:t>униципальных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Удельный вес численности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обучающихся по программам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общего образования,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участвующих в олимпиадах и конкурсах различного уровня,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в общей численности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обучающихся по программам </w:t>
            </w:r>
            <w:r>
              <w:rPr>
                <w:rFonts w:cs="Times New Roman" w:ascii="Arial" w:hAnsi="Arial"/>
                <w:sz w:val="24"/>
                <w:szCs w:val="24"/>
              </w:rPr>
              <w:t>общего образования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52,5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57,5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75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Отношение среднемесячной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заработной платы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педагогических работников муниципальных дошкольных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>к средней заработной плате в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образовании Мантуровского района Курской области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Отношение среднемесячной заработной платы работников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организаций дополнительного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образования детей к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среднемесячной заработной </w:t>
            </w:r>
            <w:r>
              <w:rPr>
                <w:rFonts w:cs="Times New Roman" w:ascii="Arial" w:hAnsi="Arial"/>
                <w:spacing w:val="-2"/>
                <w:sz w:val="24"/>
                <w:szCs w:val="24"/>
              </w:rPr>
              <w:t>плате в Мантуровского района Курской области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200"/>
              <w:ind w:firstLine="5" w:right="30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Доля детей-инвалидов, для которых введено </w:t>
            </w:r>
            <w:r>
              <w:rPr>
                <w:rFonts w:cs="Times New Roman" w:ascii="Arial" w:hAnsi="Arial"/>
                <w:spacing w:val="-2"/>
                <w:sz w:val="24"/>
                <w:szCs w:val="24"/>
              </w:rPr>
              <w:t xml:space="preserve">дистанционное обучение, от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>количества нуждающихся в указанной форме обучения ежегодно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Доля муниципальных общеобразовательных </w:t>
            </w:r>
            <w:r>
              <w:rPr>
                <w:rFonts w:cs="Times New Roman" w:ascii="Arial" w:hAnsi="Arial"/>
                <w:spacing w:val="-3"/>
                <w:sz w:val="24"/>
                <w:szCs w:val="24"/>
              </w:rPr>
              <w:t xml:space="preserve">организаций, здания которых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находятся в аварийном состоянии, в общем </w:t>
            </w:r>
            <w:r>
              <w:rPr>
                <w:rFonts w:cs="Times New Roman" w:ascii="Arial" w:hAnsi="Arial"/>
                <w:spacing w:val="-1"/>
                <w:sz w:val="24"/>
                <w:szCs w:val="24"/>
              </w:rPr>
              <w:t xml:space="preserve">количестве муниципальных </w:t>
            </w:r>
            <w:r>
              <w:rPr>
                <w:rFonts w:cs="Times New Roman" w:ascii="Arial" w:hAnsi="Arial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Численность обучающихся муниципальных общеобразовательных организаций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чел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356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370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Единиц, ученико-мест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550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316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к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  <w:p>
            <w:pPr>
              <w:pStyle w:val="Normal"/>
              <w:spacing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2.19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2.20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2.21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общем количестве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</w:tbl>
    <w:p>
      <w:pPr>
        <w:pStyle w:val="Style18"/>
        <w:tabs>
          <w:tab w:val="clear" w:pos="708"/>
          <w:tab w:val="left" w:pos="2254" w:leader="none"/>
        </w:tabs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ab/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3.Подпрограмма «Обеспечение реализации муниципальной программы «Развитие образования в Мантуровском районе Курской области»</w:t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8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8388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06"/>
        <w:gridCol w:w="3507"/>
        <w:gridCol w:w="731"/>
        <w:gridCol w:w="731"/>
        <w:gridCol w:w="674"/>
        <w:gridCol w:w="675"/>
        <w:gridCol w:w="688"/>
        <w:gridCol w:w="675"/>
      </w:tblGrid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муниципальных услуг Управления образования Администрации Мантуровского района Курской области по которым утверждены административные регламенты их оказания, в общем количестве муниципальных услуг, оказываемых Управлением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>Мероприятие по  обеспечению выплат ежемесячного денежного вознаграждения за классное руководство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Мероприятие на реализацию проекта «Народный бюджет» Благоустройство территории МДОУ «Сеймский детский сад»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 "Народный бюджет",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Количество муниципальных общеобразовательных организаций, реализующих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Ед.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Мероприятие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Мероприятие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Мероприятие по предоставление мер социальной поддержки работникам муниципальных образовательных организаций общего образования (0702)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Мероприятие по предоставление мер социальной поддержки работникам муниципальных образовательных организаций общего образования (0703)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3.13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Мероприятие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  <w:p>
            <w:pPr>
              <w:pStyle w:val="Normal"/>
              <w:spacing w:beforeAutospacing="1" w:after="142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Чел.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370</w:t>
            </w:r>
          </w:p>
          <w:p>
            <w:pPr>
              <w:pStyle w:val="Normal"/>
              <w:spacing w:beforeAutospacing="1" w:after="142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370</w:t>
            </w:r>
          </w:p>
        </w:tc>
      </w:tr>
    </w:tbl>
    <w:p>
      <w:pPr>
        <w:sectPr>
          <w:type w:val="nextPage"/>
          <w:pgSz w:w="11906" w:h="16838"/>
          <w:pgMar w:left="1531" w:right="1247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</w:t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3038" w:leader="none"/>
          <w:tab w:val="left" w:pos="13100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</w:t>
      </w:r>
      <w:r>
        <w:rPr>
          <w:rFonts w:ascii="Arial" w:hAnsi="Arial"/>
          <w:b/>
          <w:bCs/>
          <w:sz w:val="24"/>
          <w:szCs w:val="24"/>
        </w:rPr>
        <w:t xml:space="preserve">Объём финансирования мероприятий программы на 2020-2026 годы                                                                                 </w:t>
      </w:r>
      <w:r>
        <w:rPr>
          <w:rFonts w:ascii="Arial" w:hAnsi="Arial"/>
          <w:sz w:val="24"/>
          <w:szCs w:val="24"/>
        </w:rPr>
        <w:t>(приложение 1)</w:t>
      </w:r>
    </w:p>
    <w:tbl>
      <w:tblPr>
        <w:tblW w:w="15363" w:type="dxa"/>
        <w:jc w:val="left"/>
        <w:tblInd w:w="-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8"/>
        <w:gridCol w:w="1643"/>
        <w:gridCol w:w="869"/>
        <w:gridCol w:w="939"/>
        <w:gridCol w:w="855"/>
        <w:gridCol w:w="769"/>
        <w:gridCol w:w="1007"/>
        <w:gridCol w:w="939"/>
        <w:gridCol w:w="856"/>
        <w:gridCol w:w="939"/>
        <w:gridCol w:w="1009"/>
        <w:gridCol w:w="937"/>
        <w:gridCol w:w="8"/>
        <w:gridCol w:w="848"/>
        <w:gridCol w:w="831"/>
        <w:gridCol w:w="4"/>
        <w:gridCol w:w="1271"/>
        <w:gridCol w:w="11"/>
        <w:gridCol w:w="1276"/>
      </w:tblGrid>
      <w:tr>
        <w:trPr/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  <w:p>
            <w:pPr>
              <w:pStyle w:val="NoSpacing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мероприятий</w:t>
            </w:r>
          </w:p>
        </w:tc>
      </w:tr>
      <w:tr>
        <w:trPr/>
        <w:tc>
          <w:tcPr>
            <w:tcW w:w="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  <w:p>
            <w:pPr>
              <w:pStyle w:val="NoSpacing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местный бюджет</w:t>
            </w:r>
          </w:p>
        </w:tc>
      </w:tr>
      <w:tr>
        <w:trPr/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74381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6075919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6185379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66909,37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2" w:name="__DdeLink__2114_20028464782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</w:t>
            </w:r>
            <w:bookmarkEnd w:id="2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256224,10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4059229,93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5252329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3714992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4083240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4661849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4769279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6792357,10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2820492,93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3371089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2225000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2225000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74381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66909,37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1414070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1238737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1881240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1489992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1858240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1390330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1203737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1846240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1474992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1858240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bookmarkStart w:id="3" w:name="__DdeLink__1964_1027628988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2.2.</w:t>
            </w:r>
            <w:bookmarkEnd w:id="3"/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left="-142"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23740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23000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30000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15000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Меры соц.прддержки в период обучения граждан, заключивших договор о целевом обучении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434" w:hRule="atLeast"/>
        </w:trPr>
        <w:tc>
          <w:tcPr>
            <w:tcW w:w="15359" w:type="dxa"/>
            <w:gridSpan w:val="1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6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ПОДПРОГРАММА 2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«Реализация дошкольных образовательных программ»   (0701)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17312938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22323876,11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15731256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19832456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22396693</w:t>
            </w:r>
          </w:p>
          <w:p>
            <w:pPr>
              <w:pStyle w:val="NoSpacing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34615990,22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27345858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25098029,68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28822900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28380795,78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259780000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23833552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259780000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23833552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16552662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14701256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21497416</w:t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22752328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25842802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24172795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24172795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Расходы на обеспечение деятельности (оказание услуг муниципальных учреждений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21782076,11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19832456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34525990,22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24109919,28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28380795,79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23833552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22833056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760276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899277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1324163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1256326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755664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755664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2.1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Выплата компенсация части родительской платы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760276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899277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1324163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1256326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755664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755664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мероприятие направленные на предотвращение распространения новой коронавирусной инфекции в муниципальных дошкольных оганизациях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541800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Реализация проекта «Народный бюджет», «Благоустройство территории МДОУ «Сеймского детского сада»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1482166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988110,40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1787201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1723372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1049541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1049541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«Развитие основных общеобразовательных программ»  (0702)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216714538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42615657,52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217886619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24177416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246294202,15</w:t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65011533,92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298883136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48100570,45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259376828,04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25462886,19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238799479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30373421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226849581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32854201</w:t>
            </w:r>
          </w:p>
        </w:tc>
      </w:tr>
      <w:tr>
        <w:trPr>
          <w:trHeight w:val="3423" w:hRule="atLeast"/>
        </w:trPr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194670146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32248853,52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183922057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19115990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224474356,20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7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40075822,92</w:t>
            </w:r>
          </w:p>
          <w:p>
            <w:pPr>
              <w:pStyle w:val="Normal"/>
              <w:spacing w:lineRule="auto" w:line="240" w:before="0" w:after="0"/>
              <w:ind w:right="-17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224692294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41732407,45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215260737,04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19823427,19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212397708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25008645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200286133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27498170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64706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554230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78961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666399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79738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667909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50962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473698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38946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714169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38946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714169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38946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714169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3.3.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Мероприятие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85357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2200000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275883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2000000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276605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1849926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202777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1962654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202573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1985956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202573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1985956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202573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1985956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финансовое обеспечение мер социальной по оплате расходов жилых помещений, отопления и освещения, аренды работникам муниципальных образовательных организаций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13743630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13665123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8274785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8274785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4" w:name="__DdeLink__2679_343967039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</w:t>
            </w:r>
            <w:bookmarkEnd w:id="4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2217852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10087020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4634085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3.5.1.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1385820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746210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1365000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22999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3.5.2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«Успех каждого ребенка»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1399820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753749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Мероприятие на обеспечение образовательных организаций материальной технической базой для внедрения цифровой образовательной среды  в составе регионального проекта «Цифровая образовательная среда»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2219124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36021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4181856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85344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«Мероприятие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918098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1419106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1108272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1845099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1083694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1667985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1030415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1806599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870544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2136471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870544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2136471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870544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2136471</w:t>
            </w:r>
          </w:p>
        </w:tc>
      </w:tr>
      <w:tr>
        <w:trPr/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городах»,  в составе регионального проекта «Современная школа»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1567793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35957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-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3.8.1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«Оснащение (обнавление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городах)»   в составе регионального проекта «Современная школа»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4963069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101287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7962514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162500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.   3.9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503274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4787000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840000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Мероприятия направленные  на приобретение мебели для муниципальных общеобразовательных организаций, расположенных в сельских населенных пунктах (рабочих поселках, поселках городского типа)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690427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445149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Мероприятие на 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1439578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215109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3044669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454951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3376547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504542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3357300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501666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3546826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529986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3367214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503147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3273856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489197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3.12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Мероприятие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4739280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14217840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12172464,96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11785864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12421080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12421080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12421080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3.13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Обеспечение деятельности советников директора по воспитанию ивзаимодействию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262100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5349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967806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19751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1226629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25033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1226629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25033</w:t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1481664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30238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3.14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Реализация  мероприятий по модернизации школьных систем образования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7503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35170636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717768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3.15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Реализация мероприятий  по  модернизации школьных систем образования за счет областного и местного  бюджетов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1518563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30991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5359" w:type="dxa"/>
            <w:gridSpan w:val="19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ПОДПРОГРАММА 3   (0703)</w:t>
            </w:r>
          </w:p>
        </w:tc>
      </w:tr>
      <w:tr>
        <w:trPr/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1439435,29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13498569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1749490</w:t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11135472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12602921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329659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13670735,63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10400481,96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17156359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214122</w:t>
            </w:r>
          </w:p>
          <w:p>
            <w:pPr>
              <w:pStyle w:val="NoSpacing"/>
              <w:jc w:val="right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14717166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214122</w:t>
            </w:r>
          </w:p>
          <w:p>
            <w:pPr>
              <w:pStyle w:val="NoSpacing"/>
              <w:jc w:val="right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14717166</w:t>
            </w:r>
          </w:p>
        </w:tc>
      </w:tr>
      <w:tr>
        <w:trPr>
          <w:trHeight w:val="950" w:hRule="atLeast"/>
        </w:trPr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1.1.</w:t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ind w:hanging="142" w:right="-10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13465822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11099768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12372736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13591796,63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10009605,96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17039193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14600000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14600000</w:t>
            </w:r>
          </w:p>
        </w:tc>
      </w:tr>
      <w:tr>
        <w:trPr>
          <w:trHeight w:val="950" w:hRule="atLeast"/>
        </w:trPr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Мероприятия   создание новых мест в образовательных организациях различных типов для реализации дополнительных общеразвивающих программ всех направленностей в составе регионального проекта «Успех каждого ребенка»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1439435,29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32747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US"/>
              </w:rPr>
              <w:t>1749490</w:t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35704</w:t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Основное мероприятие «Социальная поддержка работников организаций дополнительного образования»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14001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78939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7904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117166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7904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117166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7904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117166</w:t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финансовое обеспечение мер социальной по оплате расходов жилых помещений, отопления и освещения, аренды работникам муниципальных образовательных организаций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229555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315658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382972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206218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206218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142" w:right="-10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177150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Финансовое обеспечение  на 2020-2026 годы.</w:t>
      </w:r>
    </w:p>
    <w:tbl>
      <w:tblPr>
        <w:tblW w:w="1332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8"/>
        <w:gridCol w:w="1139"/>
        <w:gridCol w:w="690"/>
        <w:gridCol w:w="969"/>
        <w:gridCol w:w="690"/>
        <w:gridCol w:w="970"/>
        <w:gridCol w:w="192"/>
        <w:gridCol w:w="533"/>
        <w:gridCol w:w="968"/>
        <w:gridCol w:w="192"/>
        <w:gridCol w:w="535"/>
        <w:gridCol w:w="968"/>
        <w:gridCol w:w="689"/>
        <w:gridCol w:w="968"/>
        <w:gridCol w:w="192"/>
        <w:gridCol w:w="533"/>
        <w:gridCol w:w="969"/>
        <w:gridCol w:w="192"/>
        <w:gridCol w:w="533"/>
        <w:gridCol w:w="961"/>
      </w:tblGrid>
      <w:tr>
        <w:trPr>
          <w:trHeight w:val="540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Бюджетополучатели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2026</w:t>
            </w:r>
          </w:p>
        </w:tc>
      </w:tr>
      <w:tr>
        <w:trPr>
          <w:trHeight w:val="1650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  <w:p>
            <w:pPr>
              <w:pStyle w:val="Normal"/>
              <w:spacing w:before="0" w:after="20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Бюджет муниципального района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117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Основное мероприятие «Укрепление материально -технической базы казенных и бюджетных учреждений, подведомственных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74381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6075919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6185379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bookmarkStart w:id="5" w:name="__DdeLink__2114_200284647822"/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6271751</w:t>
            </w:r>
            <w:bookmarkEnd w:id="5"/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4059229,93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5252329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3714992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4083240</w:t>
            </w:r>
          </w:p>
        </w:tc>
      </w:tr>
      <w:tr>
        <w:trPr>
          <w:trHeight w:val="2117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4284823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4769279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4855657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2820492,93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3371089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2225000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2225000</w:t>
            </w:r>
          </w:p>
        </w:tc>
      </w:tr>
      <w:tr>
        <w:trPr>
          <w:trHeight w:val="2117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74381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72846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2117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Основное мероприятие  «Руководство  и Управления  в сфере установленных  функций  органов местного  самоуправления  муниципальных  образований»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74381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1414070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1238737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1881240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1489992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1858240</w:t>
            </w:r>
          </w:p>
        </w:tc>
      </w:tr>
      <w:tr>
        <w:trPr>
          <w:trHeight w:val="1233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3.1.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1390330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1393100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1393100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1203737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1846240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1474992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1843240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1224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23740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23000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23000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30000</w:t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15000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24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91" w:leader="none"/>
              </w:tabs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Меры соц.прддержки в период обучения граждан, заключивших договор о целевом обучении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orient="landscape" w:w="16838" w:h="11906"/>
      <w:pgMar w:left="1531" w:right="124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index heading" w:locked="1" w:uiPriority="0" w:semiHidden="0" w:unhideWhenUsed="0"/>
    <w:lsdException w:name="caption" w:locked="1" w:uiPriority="0" w:semiHidden="0" w:unhideWhenUsed="0" w:qFormat="1"/>
    <w:lsdException w:name="List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79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d791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99"/>
    <w:qFormat/>
    <w:rsid w:val="002d791c"/>
    <w:rPr>
      <w:rFonts w:cs="Times New Roman"/>
      <w:sz w:val="22"/>
    </w:rPr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FooterChar" w:customStyle="1">
    <w:name w:val="Footer Char"/>
    <w:basedOn w:val="DefaultParagraphFont"/>
    <w:uiPriority w:val="99"/>
    <w:semiHidden/>
    <w:qFormat/>
    <w:locked/>
    <w:rPr>
      <w:rFonts w:cs="Times New Roman"/>
    </w:rPr>
  </w:style>
  <w:style w:type="paragraph" w:styleId="Style16" w:customStyle="1">
    <w:name w:val="Заголовок"/>
    <w:basedOn w:val="Normal"/>
    <w:next w:val="BodyText"/>
    <w:uiPriority w:val="99"/>
    <w:qFormat/>
    <w:rsid w:val="002d791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791c"/>
    <w:pPr>
      <w:spacing w:before="0" w:after="140"/>
    </w:pPr>
    <w:rPr/>
  </w:style>
  <w:style w:type="paragraph" w:styleId="List">
    <w:name w:val="List"/>
    <w:basedOn w:val="BodyText"/>
    <w:uiPriority w:val="99"/>
    <w:rsid w:val="002d791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uiPriority w:val="99"/>
    <w:qFormat/>
    <w:rsid w:val="002d7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2d791c"/>
    <w:pPr>
      <w:spacing w:lineRule="auto" w:line="240" w:before="0" w:after="0"/>
      <w:ind w:hanging="220" w:left="220"/>
    </w:pPr>
    <w:rPr>
      <w:rFonts w:cs="Tahoma"/>
    </w:rPr>
  </w:style>
  <w:style w:type="paragraph" w:styleId="Indexheading">
    <w:name w:val="index heading"/>
    <w:basedOn w:val="Normal"/>
    <w:uiPriority w:val="99"/>
    <w:qFormat/>
    <w:rsid w:val="002d791c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uiPriority w:val="99"/>
    <w:qFormat/>
    <w:rsid w:val="002d7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  <w:rsid w:val="002d791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d791c"/>
    <w:pPr>
      <w:spacing w:before="0" w:after="200"/>
      <w:ind w:left="720"/>
      <w:contextualSpacing/>
    </w:pPr>
    <w:rPr/>
  </w:style>
  <w:style w:type="paragraph" w:styleId="Style18" w:customStyle="1">
    <w:name w:val="Содержимое таблицы"/>
    <w:basedOn w:val="Normal"/>
    <w:uiPriority w:val="99"/>
    <w:qFormat/>
    <w:rsid w:val="002d791c"/>
    <w:pPr>
      <w:suppressLineNumbers/>
    </w:pPr>
    <w:rPr/>
  </w:style>
  <w:style w:type="paragraph" w:styleId="Style19" w:customStyle="1">
    <w:name w:val="Заголовок таблицы"/>
    <w:basedOn w:val="Style18"/>
    <w:uiPriority w:val="99"/>
    <w:qFormat/>
    <w:rsid w:val="002d791c"/>
    <w:pPr>
      <w:jc w:val="center"/>
    </w:pPr>
    <w:rPr>
      <w:b/>
      <w:bCs/>
    </w:rPr>
  </w:style>
  <w:style w:type="paragraph" w:styleId="11" w:customStyle="1">
    <w:name w:val="Нижний колонтитул1"/>
    <w:basedOn w:val="Normal"/>
    <w:uiPriority w:val="99"/>
    <w:qFormat/>
    <w:rsid w:val="002d791c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2d79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2d791c"/>
    <w:pPr/>
    <w:rPr/>
  </w:style>
  <w:style w:type="paragraph" w:styleId="ConsPlusNormal" w:customStyle="1">
    <w:name w:val="ConsPlusNormal"/>
    <w:uiPriority w:val="99"/>
    <w:qFormat/>
    <w:rsid w:val="002d791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2" w:customStyle="1">
    <w:name w:val="Название объекта2"/>
    <w:basedOn w:val="Normal"/>
    <w:uiPriority w:val="99"/>
    <w:qFormat/>
    <w:rsid w:val="002d79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ижний колонтитул2"/>
    <w:basedOn w:val="Normal"/>
    <w:uiPriority w:val="99"/>
    <w:qFormat/>
    <w:rsid w:val="002d791c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cs="Tahoma"/>
    </w:rPr>
  </w:style>
  <w:style w:type="paragraph" w:styleId="NormalWeb">
    <w:name w:val="Normal (Web)"/>
    <w:basedOn w:val="Normal"/>
    <w:uiPriority w:val="99"/>
    <w:semiHidden/>
    <w:qFormat/>
    <w:rsid w:val="002d791c"/>
    <w:pPr>
      <w:spacing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d791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Application>LibreOffice/24.2.1.2$Windows_X86_64 LibreOffice_project/db4def46b0453cc22e2d0305797cf981b68ef5ac</Application>
  <AppVersion>15.0000</AppVersion>
  <Pages>26</Pages>
  <Words>3443</Words>
  <Characters>25674</Characters>
  <CharactersWithSpaces>28479</CharactersWithSpaces>
  <Paragraphs>1035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2023-02-17T15:30:00Z</dcterms:created>
  <dc:creator>Пользователь Windows</dc:creator>
  <dc:description/>
  <dc:language>ru-RU</dc:language>
  <cp:lastModifiedBy/>
  <cp:lastPrinted>2024-03-09T17:02:00Z</cp:lastPrinted>
  <dcterms:modified xsi:type="dcterms:W3CDTF">2024-03-25T16:38:57Z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