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ПРЕДСТАВИТЕЛЬНОЕ СОБРАНИЕ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РЕШЕНИЕ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262626" w:themeColor="text1" w:themeShade="80"/>
          <w:sz w:val="28"/>
          <w:szCs w:val="28"/>
          <w:u w:val="single"/>
        </w:rPr>
        <w:t xml:space="preserve">от   </w:t>
      </w:r>
      <w:r>
        <w:rPr>
          <w:rFonts w:cs="Times New Roman" w:ascii="Times New Roman" w:hAnsi="Times New Roman"/>
          <w:b w:val="false"/>
          <w:bCs w:val="false"/>
          <w:color w:val="262626" w:themeColor="text1" w:themeShade="80"/>
          <w:sz w:val="28"/>
          <w:szCs w:val="28"/>
          <w:u w:val="single"/>
        </w:rPr>
        <w:t>23  ноября   2023   года      №304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262626" w:themeColor="text1" w:themeShade="80"/>
          <w:sz w:val="18"/>
          <w:szCs w:val="1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262626" w:themeColor="text1" w:themeShade="80"/>
          <w:sz w:val="20"/>
          <w:szCs w:val="20"/>
        </w:rPr>
        <w:t>307000, Курская область, с. Мантурово, ул. Ленина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262626" w:themeColor="text1" w:themeShade="80"/>
          <w:sz w:val="18"/>
          <w:szCs w:val="1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О внесении изменений в решение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Представительного Собрания Мантуровского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района Курской области от 05.04.2022 года № 175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«Об утверждении Положения о размерах, условиях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оплаты труда и гарантиях Председателя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Ревизионной комиссии Мантуровского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Курской области»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В соответствии с Трудовым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в целях обеспечения социальных гарантий и упорядочения оплаты труда, рационального использования рабочего времени, укрепления трудовой дисциплины и стимулирования творческой деятельности</w:t>
      </w:r>
      <w:r>
        <w:rPr>
          <w:color w:val="262626" w:themeColor="text1" w:themeShade="80"/>
        </w:rPr>
        <w:t xml:space="preserve"> 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Председателя Ревизионной комиссии Мантуровского района Курской области, Представительное Собрание Мантуровского района Курской области </w:t>
      </w:r>
      <w:r>
        <w:rPr>
          <w:rFonts w:cs="Times New Roman" w:ascii="Times New Roman" w:hAnsi="Times New Roman"/>
          <w:b/>
          <w:color w:val="262626" w:themeColor="text1" w:themeShade="80"/>
          <w:sz w:val="28"/>
          <w:szCs w:val="28"/>
        </w:rPr>
        <w:t>РЕШИЛО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1. Внести в решение Представительного Собрания Мантуровского района Курской области от 05.04.2022 г. № 175 «Об утверждении Положения о размерах и условиях оплаты труда и гарантиях Председателя Ревизионной комиссии Мантуровского района Курской области» (в редакции от 28.04.2022г. №187) следующие изменения:</w:t>
      </w:r>
    </w:p>
    <w:p>
      <w:pPr>
        <w:pStyle w:val="ListParagraph"/>
        <w:ind w:left="0"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1.1. Абзац 3.1 раздела 3 «Единовременные выплаты Председателя Ревизионной комиссии» Положения о размерах и условиях оплаты труда и гарантиях Председателя Ревизионной комиссии Мантуровского района Курской области изложить в новой редакции: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«Председателю Ревизионной комиссии Мантуровского района Курской области</w:t>
        <w:tab/>
        <w:t xml:space="preserve"> в целях социальной защиты и стимулирования, повышения ответственности, интенсивности результатов труда, проявления творческой инициативы в реализации поставленных задач, планов, поручений может выплачиваться единовременное вознаграждение в размере до 10-ти должностных окладов в год в пределах лимитов бюджетных ассигнований. Единовременное вознаграждение включается в расчет среднего заработка при исчислении отпускных и расчете пособия по временной нетрудоспособности».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2. Настоящее решение вступает в силу с момента подписания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Председатель Представительного Собрания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Мантуровского района Курской области                                      Н.В. Токарева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Глава Мантуровского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Курской области                                                                               С.Н. Бочаров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cs="Times New Roman" w:ascii="Times New Roman" w:hAnsi="Times New Roman"/>
          <w:color w:val="262626" w:themeColor="text1" w:themeShade="80"/>
          <w:sz w:val="24"/>
          <w:szCs w:val="24"/>
        </w:rPr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56e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LibreOffice/6.4.5.2$Windows_X86_64 LibreOffice_project/a726b36747cf2001e06b58ad5db1aa3a9a1872d6</Application>
  <Pages>2</Pages>
  <Words>319</Words>
  <Characters>2402</Characters>
  <CharactersWithSpaces>2835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2023-11-15T08:04:00Z</dcterms:created>
  <dc:creator>Пользователь</dc:creator>
  <dc:description/>
  <dc:language>ru-RU</dc:language>
  <cp:lastModifiedBy/>
  <cp:lastPrinted>2023-11-16T17:01:23Z</cp:lastPrinted>
  <dcterms:modified xsi:type="dcterms:W3CDTF">2023-11-23T16:55:46Z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