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ПАМЯТКА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для </w:t>
      </w:r>
      <w:r>
        <w:rPr>
          <w:rFonts w:cs="Times New Roman" w:ascii="Times New Roman" w:hAnsi="Times New Roman"/>
          <w:b/>
          <w:bCs/>
          <w:sz w:val="28"/>
          <w:szCs w:val="28"/>
        </w:rPr>
        <w:t xml:space="preserve">работников </w:t>
      </w:r>
      <w:r>
        <w:rPr>
          <w:rFonts w:cs="Times New Roman" w:ascii="Times New Roman" w:hAnsi="Times New Roman"/>
          <w:b/>
          <w:bCs/>
          <w:sz w:val="28"/>
          <w:szCs w:val="28"/>
        </w:rPr>
        <w:t>муниципальны</w:t>
      </w:r>
      <w:r>
        <w:rPr>
          <w:rFonts w:cs="Times New Roman" w:ascii="Times New Roman" w:hAnsi="Times New Roman"/>
          <w:b/>
          <w:bCs/>
          <w:sz w:val="28"/>
          <w:szCs w:val="28"/>
        </w:rPr>
        <w:t>х</w:t>
      </w:r>
      <w:r>
        <w:rPr>
          <w:rFonts w:cs="Times New Roman" w:ascii="Times New Roman" w:hAnsi="Times New Roman"/>
          <w:b/>
          <w:bCs/>
          <w:sz w:val="28"/>
          <w:szCs w:val="28"/>
        </w:rPr>
        <w:t xml:space="preserve"> учреждений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в сфере противодействия коррупции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№273-ФЗ «О противодействии коррупции». Федеральный закон от 07 августа 2001 года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Основные понятия, используемые в настоящей памятке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Коррупция </w:t>
      </w:r>
      <w:r>
        <w:rPr>
          <w:rFonts w:cs="Times New Roman" w:ascii="Times New Roman" w:hAnsi="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Противодействие коррупции - </w:t>
      </w:r>
      <w:r>
        <w:rPr>
          <w:rFonts w:cs="Times New Roman" w:ascii="Times New Roman" w:hAnsi="Times New Roman"/>
          <w:sz w:val="28"/>
          <w:szCs w:val="28"/>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 минимизации и (или) ликвидации последствий коррупционных правонарушений;</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 xml:space="preserve">Функции государственного, муниципального (административного) управления организацией – </w:t>
      </w:r>
      <w:r>
        <w:rPr>
          <w:rFonts w:cs="Times New Roman" w:ascii="Times New Roman" w:hAnsi="Times New Roman"/>
          <w:sz w:val="28"/>
          <w:szCs w:val="28"/>
        </w:rPr>
        <w:t>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Конфликт интересов </w:t>
      </w:r>
      <w:r>
        <w:rPr>
          <w:rFonts w:cs="Times New Roman" w:ascii="Times New Roman" w:hAnsi="Times New Roman"/>
          <w:sz w:val="28"/>
          <w:szCs w:val="28"/>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повлиять на надлежащее, объективное и беспристрастное исполнение им должностных (служебных) обязанностей (осуществление полномочий).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Личная заинтересованность </w:t>
      </w:r>
      <w:r>
        <w:rPr>
          <w:rFonts w:cs="Times New Roman" w:ascii="Times New Roman" w:hAnsi="Times New Roman"/>
          <w:sz w:val="28"/>
          <w:szCs w:val="28"/>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замещающего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в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или могут извлекать выгоду из пользования, распоряжения имуществом некоммерческой организации.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 коммерческой организации.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Должностные лица </w:t>
      </w:r>
      <w:r>
        <w:rPr>
          <w:rFonts w:cs="Times New Roman" w:ascii="Times New Roman" w:hAnsi="Times New Roman"/>
          <w:sz w:val="28"/>
          <w:szCs w:val="28"/>
        </w:rPr>
        <w:t>– лица, постоянно, временно или по специальному полномочию осуществляют функции представителя власти либо выполняющие организационно- 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Под </w:t>
      </w:r>
      <w:r>
        <w:rPr>
          <w:rFonts w:cs="Times New Roman" w:ascii="Times New Roman" w:hAnsi="Times New Roman"/>
          <w:sz w:val="28"/>
          <w:szCs w:val="28"/>
        </w:rPr>
        <w:t>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К организационно-распорядительным функциям </w:t>
      </w:r>
      <w:r>
        <w:rPr>
          <w:rFonts w:cs="Times New Roman" w:ascii="Times New Roman" w:hAnsi="Times New Roman"/>
          <w:sz w:val="28"/>
          <w:szCs w:val="28"/>
        </w:rPr>
        <w:t>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Как административно-хозяйственные функции </w:t>
      </w:r>
      <w:r>
        <w:rPr>
          <w:rFonts w:cs="Times New Roman" w:ascii="Times New Roman" w:hAnsi="Times New Roman"/>
          <w:sz w:val="28"/>
          <w:szCs w:val="28"/>
        </w:rPr>
        <w:t>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совершенствованию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При временном исполнении функции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Значительный размер взятки </w:t>
      </w:r>
      <w:r>
        <w:rPr>
          <w:rFonts w:cs="Times New Roman" w:ascii="Times New Roman" w:hAnsi="Times New Roman"/>
          <w:sz w:val="28"/>
          <w:szCs w:val="28"/>
        </w:rPr>
        <w:t>–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Крупным размером взятки </w:t>
      </w:r>
      <w:r>
        <w:rPr>
          <w:rFonts w:cs="Times New Roman" w:ascii="Times New Roman" w:hAnsi="Times New Roman"/>
          <w:sz w:val="28"/>
          <w:szCs w:val="28"/>
        </w:rPr>
        <w:t>– сумма денег, стоимость ценных бумаг, иного имущества, услуг имущественного характера, иных имущественных прав, превышающие пятьдесят тысяч рублей;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Особо крупным размером взятки </w:t>
      </w:r>
      <w:r>
        <w:rPr>
          <w:rFonts w:cs="Times New Roman" w:ascii="Times New Roman" w:hAnsi="Times New Roman"/>
          <w:sz w:val="28"/>
          <w:szCs w:val="28"/>
        </w:rPr>
        <w:t>– сумма денег, стоимость ценных бумаг, иного имущества, услуг имущественного характера, иных имущественных прав, превышающие один миллион рублей.</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Ответственность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Дисциплинарные коррупционные проступки</w:t>
      </w:r>
      <w:r>
        <w:rPr>
          <w:rFonts w:cs="Times New Roman" w:ascii="Times New Roman" w:hAnsi="Times New Roman"/>
          <w:sz w:val="28"/>
          <w:szCs w:val="28"/>
        </w:rPr>
        <w:t>: обычно проявляются в таком использовании служащими своего статуса для получения преимуществ, за совершение которого предусмотрено дисциплинарное взыскание.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 xml:space="preserve">К гражданско-правовым коррупционным деяниям относятся: </w:t>
      </w:r>
      <w:r>
        <w:rPr>
          <w:rFonts w:cs="Times New Roman" w:ascii="Times New Roman" w:hAnsi="Times New Roman"/>
          <w:sz w:val="28"/>
          <w:szCs w:val="28"/>
        </w:rPr>
        <w:t>принятие в дар (и дарение) подарков служащим/должностным лицом коммерческой и иной организации в связи с их должностным положением или с использованием ими должностных (служебных) обязанностей.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К административным коррупционным проступкам</w:t>
      </w:r>
      <w:r>
        <w:rPr>
          <w:rFonts w:cs="Times New Roman" w:ascii="Times New Roman" w:hAnsi="Times New Roman"/>
          <w:sz w:val="28"/>
          <w:szCs w:val="28"/>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
          <w:bCs/>
          <w:sz w:val="28"/>
          <w:szCs w:val="28"/>
        </w:rPr>
        <w:t xml:space="preserve">Преступлениями коррупционного характера являются: </w:t>
      </w:r>
      <w:r>
        <w:rPr>
          <w:rFonts w:cs="Times New Roman" w:ascii="Times New Roman" w:hAnsi="Times New Roman"/>
          <w:bCs/>
          <w:sz w:val="28"/>
          <w:szCs w:val="28"/>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каких-либо преимуществ (денег, имущества, прав на него, услуг и льгот) либо в предоставлении таких преимуществ.</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Преступления коррупционной направленности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К преступлениям коррупционной направленности относятся взяточничество (статьи 290, 291 и 291.1 Уголовного кодекса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159 УК РФ – Мошенничество</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159.2 УК РФ – Мошенничество при получении выплат</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159.4 УК РФ – Мошенничество в сфере предпринимательской деятельности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160 УК РФ – Присвоение или растрата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178 УК РФ – Недопущение, ограничение или устранение конкуренции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201 УК РФ – Злоупотребление полномочиями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204 УК РФ – Коммерческий подкуп</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285 УК РФ – Злоупотребление должностными полномочиями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285.1 УК РФ – Нецелевое расходование бюджетных средств</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285.2 УК РФ – Нецелевое расходование средств государственных внебюджетныхфондов</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ab/>
        <w:t>Статья 285.3 УК РФ - Внесение в единые государственные реестры заведомо недостоверных</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286 УК РФ – Превышение должностных полномочий</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288 УК РФ – Присвоение полномочий должностного лица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289 УК РФ – Незаконное участие в предпринимательской деятельности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290 УК РФ – Получение взятки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291 – УК РФ – Дача взятки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291.1 УК РФ – Посредничество во взяточничестве</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292- УК РФ – Служебный подлог</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304 УК РФ – Провокация взятки либо коммерческого подкупа</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За преступления коррупционной направленности Уголовным кодексом Российской Федерации предусмотрены следующие виды наказаний:</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штраф;</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лишение права занимать определенные должности или заниматься определенной деятельностью;</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обязательные работы;</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исправительные работы;</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принудительные работы;</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ограничение свободы;</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лишение свободы на определенный срок.</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Административная ответственность за коррупционные правонарушения</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5.45 «Использование преимуществ должностного или служебного положения в период избирательной кампании, кампании референдума»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5.50 «Нарушение правил перечисления средств, внесенных в избирательный фонд, фонд референдума»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7.27 «Мелкое хищение» (в случае совершения соответствующего действия путем присвоения или растраты)</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7.30 «Нарушение порядка размещения заказа на поставки товаров, выполнение работ, оказание услуг для нужд заказчиков»</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19.28 «Незаконное вознаграждение от имени юридического лица»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19.29 «Незаконное привлечение к трудовой деятельности государственного служащего (бывшего государственного служащего)» и другие.</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административный штраф;</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административный арест;</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дисквалификация.</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Гражданско-правовая ответственность за коррупционные правонарушения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 обязательства (обязательства вследствие причинения вреда).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Дисциплинарная ответственность за коррупционные правонарушения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1) замечание;</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2) выговор;</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3) увольнение по соответствующим основаниям.</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ab/>
        <w:t>Кроме того, в соответствии с частью 8 статьи 8 Федерального закона №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ВОЗМОЖНЫЕ СИТУАЦИИ КОРРУПЦИОННОЙ НАПРАВЛЕННОСТИ И РЕКОМЕНДАЦИИ ПО ПРАВИЛАМ ПОВЕДЕНИЯ</w:t>
      </w:r>
    </w:p>
    <w:p>
      <w:pPr>
        <w:pStyle w:val="Normal"/>
        <w:spacing w:lineRule="auto" w:line="240" w:before="0" w:after="0"/>
        <w:ind w:firstLine="708"/>
        <w:jc w:val="both"/>
        <w:rPr>
          <w:rFonts w:ascii="Times New Roman" w:hAnsi="Times New Roman" w:cs="Times New Roman"/>
          <w:b/>
          <w:b/>
          <w:bCs/>
          <w:i/>
          <w:i/>
          <w:iCs/>
          <w:sz w:val="28"/>
          <w:szCs w:val="28"/>
        </w:rPr>
      </w:pPr>
      <w:r>
        <w:rPr>
          <w:rFonts w:cs="Times New Roman" w:ascii="Times New Roman" w:hAnsi="Times New Roman"/>
          <w:b/>
          <w:bCs/>
          <w:i/>
          <w:iCs/>
          <w:sz w:val="28"/>
          <w:szCs w:val="28"/>
        </w:rPr>
        <w:t>1. Получение предложений об участии в террористическом акте, криминальной группировке</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В ходе разговора постараться запомнить:</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какие требования либо предложения выдвигает данное лицо;</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действует самостоятельно или выступает в роли посредника;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как, когда и кому можно с ним связаться;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зафиксировать приметы лица и особенности его речи (голос, произношение, диалект, темп речи, манера речи и др.);</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если предложение поступило по телефону: запомнить звуковой фон (шумы автомашин, другого транспорта, характерные звуки, голоса и т.д.);</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при возможности дословно зафиксировать на бумаге;</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после разговора немедленно сообщить в соответствующие правоохранительные органы, своему непосредственному начальнику;</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не распространяться о факте разговора и его содержании, максимально ограничить число людей, владеющих данной информацией.</w:t>
      </w:r>
    </w:p>
    <w:p>
      <w:pPr>
        <w:pStyle w:val="Normal"/>
        <w:spacing w:lineRule="auto" w:line="240" w:before="0" w:after="0"/>
        <w:ind w:firstLine="708"/>
        <w:jc w:val="both"/>
        <w:rPr>
          <w:rFonts w:ascii="Times New Roman" w:hAnsi="Times New Roman" w:cs="Times New Roman"/>
          <w:b/>
          <w:b/>
          <w:bCs/>
          <w:i/>
          <w:i/>
          <w:iCs/>
          <w:sz w:val="28"/>
          <w:szCs w:val="28"/>
        </w:rPr>
      </w:pPr>
      <w:r>
        <w:rPr>
          <w:rFonts w:cs="Times New Roman" w:ascii="Times New Roman" w:hAnsi="Times New Roman"/>
          <w:b/>
          <w:bCs/>
          <w:i/>
          <w:iCs/>
          <w:sz w:val="28"/>
          <w:szCs w:val="28"/>
        </w:rPr>
        <w:t>2. Провокации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не оставлять без присмотра служебные помещения, в которых работают проверяющие, личные вещи (одежда, портфели, сумки и т.д.);</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по окончании рабочего дня служебные помещения ревизионной группы в обязательном порядке опечатывается печатями организации и представителя проверяемой организации;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 случае обнаружения после ухода посетителя на рабочем месте или в личных вещах каких- либо посторонних предметов, не принимая никаких самостоятельных действий, немедленно доложить непосредственному руководителю.</w:t>
      </w:r>
    </w:p>
    <w:p>
      <w:pPr>
        <w:pStyle w:val="Normal"/>
        <w:spacing w:lineRule="auto" w:line="240" w:before="0" w:after="0"/>
        <w:ind w:firstLine="708"/>
        <w:jc w:val="both"/>
        <w:rPr>
          <w:rFonts w:ascii="Times New Roman" w:hAnsi="Times New Roman" w:cs="Times New Roman"/>
          <w:b/>
          <w:b/>
          <w:bCs/>
          <w:i/>
          <w:i/>
          <w:iCs/>
          <w:sz w:val="28"/>
          <w:szCs w:val="28"/>
        </w:rPr>
      </w:pPr>
      <w:r>
        <w:rPr>
          <w:rFonts w:cs="Times New Roman" w:ascii="Times New Roman" w:hAnsi="Times New Roman"/>
          <w:b/>
          <w:bCs/>
          <w:i/>
          <w:iCs/>
          <w:sz w:val="28"/>
          <w:szCs w:val="28"/>
        </w:rPr>
        <w:t>3. Дача взятки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либо как категорический отказ принять взятку;</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внимательно выслушать и точно запомнить предложенные Вам условия (размер сумм, наименование товаров и характер услуг, сроки и способы передачи взятки, форма коммерческого подкупа, последовательность решения вопросов);</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при наличии у Вас диктофона постараться записать (скрытно) предложение о взятке;</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доложить о данном факте служебной запиской непосредственному начальнику;</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ab/>
        <w:t>- обратиться с письменным сообщением о готовящемся преступлении в соответствующие правоохранительные органы;</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обратиться к представителю нанимателя.</w:t>
      </w:r>
    </w:p>
    <w:p>
      <w:pPr>
        <w:pStyle w:val="Normal"/>
        <w:spacing w:lineRule="auto" w:line="240" w:before="0" w:after="0"/>
        <w:ind w:firstLine="708"/>
        <w:jc w:val="both"/>
        <w:rPr>
          <w:rFonts w:ascii="Times New Roman" w:hAnsi="Times New Roman" w:cs="Times New Roman"/>
          <w:b/>
          <w:b/>
          <w:bCs/>
          <w:i/>
          <w:i/>
          <w:iCs/>
          <w:sz w:val="28"/>
          <w:szCs w:val="28"/>
        </w:rPr>
      </w:pPr>
      <w:r>
        <w:rPr>
          <w:rFonts w:cs="Times New Roman" w:ascii="Times New Roman" w:hAnsi="Times New Roman"/>
          <w:b/>
          <w:bCs/>
          <w:i/>
          <w:iCs/>
          <w:sz w:val="28"/>
          <w:szCs w:val="28"/>
        </w:rPr>
        <w:t>4. Угроза жизни и здоровью</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Если на работе оказывается открытое давление или осуществляется угроза его жизни и здоровью или членам его семьи рекомендуется: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по возможности скрытно включить записывающее устройство;</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 случае поступления угроз по телефону по возможности определить номер телефона с которого поступил звонок и записать разговор на диктофон;</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при получении угроз в письменной форме необходимо принять меры по сохранению возможных отпечатков пальцев на бумаге (конверте), вложив их плотно закрываемый полиэтиленовый пакет.</w:t>
      </w:r>
    </w:p>
    <w:p>
      <w:pPr>
        <w:pStyle w:val="Normal"/>
        <w:spacing w:lineRule="auto" w:line="240" w:before="0" w:after="0"/>
        <w:ind w:firstLine="708"/>
        <w:jc w:val="both"/>
        <w:rPr>
          <w:rFonts w:ascii="Times New Roman" w:hAnsi="Times New Roman" w:cs="Times New Roman"/>
          <w:b/>
          <w:b/>
          <w:bCs/>
          <w:i/>
          <w:i/>
          <w:iCs/>
          <w:sz w:val="28"/>
          <w:szCs w:val="28"/>
        </w:rPr>
      </w:pPr>
      <w:r>
        <w:rPr>
          <w:rFonts w:cs="Times New Roman" w:ascii="Times New Roman" w:hAnsi="Times New Roman"/>
          <w:b/>
          <w:bCs/>
          <w:i/>
          <w:iCs/>
          <w:sz w:val="28"/>
          <w:szCs w:val="28"/>
        </w:rPr>
        <w:t>5. Конфликт интересов</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внимательно относиться к любой возможности конфликта интересов;</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принимать меры по недопущению любой возможности возникновения конфликта интересов;</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принять меры по преодолению возникшего конфликта интересов самостоятельно или по согласованию с непосредственным руководителем;</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законом порядке, и (или) в отказе его от выгоды, явившейся причиной возникновения конфликта интересов;</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отвод или самоотвод служащего в случаях и порядке, предусмотренных законодательством Российской Федерации;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передать принадлежащие служащему ценные бумаги (доли участия, паи в уставных (складочных) капиталах организаций) в доверительное управление;</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образовать комиссии по соблюдению требований к служебному поведению служащих и урегулированию конфликта интересов.</w:t>
      </w:r>
    </w:p>
    <w:p>
      <w:pPr>
        <w:pStyle w:val="Normal"/>
        <w:spacing w:lineRule="auto" w:line="240" w:before="0" w:after="0"/>
        <w:ind w:firstLine="708"/>
        <w:jc w:val="both"/>
        <w:rPr>
          <w:rFonts w:ascii="Times New Roman" w:hAnsi="Times New Roman" w:cs="Times New Roman"/>
          <w:b/>
          <w:b/>
          <w:bCs/>
          <w:i/>
          <w:i/>
          <w:iCs/>
          <w:sz w:val="28"/>
          <w:szCs w:val="28"/>
        </w:rPr>
      </w:pPr>
      <w:r>
        <w:rPr>
          <w:rFonts w:cs="Times New Roman" w:ascii="Times New Roman" w:hAnsi="Times New Roman"/>
          <w:b/>
          <w:bCs/>
          <w:i/>
          <w:iCs/>
          <w:sz w:val="28"/>
          <w:szCs w:val="28"/>
        </w:rPr>
        <w:t>6. Действия и высказывания, которые могут быть восприняты окружающими как согласие принять взятку или как просьба о даче взятки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К числу таких выражений относятся, например; «вопрос решить трудно, но можно», «спасибо на хлеб не мажешь», «договоримся», «нужны более веские аргументы», «нужны обсудить параметры», «ну что делать будем?» и т.д.;</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Не следует обсуждать определенные темы с представителями организаций и гражданами, особенно с теми, чья выгода зависит от решений и действий работников и которые могут восприниматься как просьба о даче взятки.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К числу таких тем относятся, например:</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низкий уровень заработной платы работника и нехватка денежных средств на реализацию тех или иных нужд;</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
          <w:bCs/>
          <w:sz w:val="28"/>
          <w:szCs w:val="28"/>
        </w:rPr>
        <w:t xml:space="preserve"> </w:t>
      </w:r>
      <w:r>
        <w:rPr>
          <w:rFonts w:cs="Times New Roman" w:ascii="Times New Roman" w:hAnsi="Times New Roman"/>
          <w:bCs/>
          <w:sz w:val="28"/>
          <w:szCs w:val="28"/>
        </w:rPr>
        <w:t>- желание приобрести то или иное имущество, получить ту или иную услугу, отправиться в туристическую поездку;</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отсутствие работы у родственника;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необходимость поступления детей работника в образовательные учреждения и т.д.</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Это возможно даже в том случае, когда такие предложения продиктованы благими намерениями и никак не связаны с личной выгодой работника.</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К числу таких предложений относятся, например, предложения: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предоставить работнику и/или его родственникам скидку;</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внести деньги в конкретный благотворительный фонд;</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поддержать конкретную спортивную команду и т.д.</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Не следует совершать определенные действия, которые могут восприниматься как согласие принять взятку или просьба о даче взятки.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К числу таких действий относятся, например:</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регулярное получение подарков, даже (если речь идет не о государственном гражданском служащем) стоимостью менее 3000 рублей;</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r>
    </w:p>
    <w:p>
      <w:pPr>
        <w:pStyle w:val="Normal"/>
        <w:spacing w:lineRule="auto" w:line="240" w:before="0" w:after="0"/>
        <w:rPr>
          <w:rFonts w:ascii="Calibri" w:hAnsi="Calibri" w:cs="Calibri"/>
          <w:b/>
          <w:b/>
          <w:bCs/>
          <w:i/>
          <w:i/>
          <w:iCs/>
        </w:rPr>
      </w:pPr>
      <w:r>
        <w:rPr>
          <w:rFonts w:cs="Calibri"/>
          <w:b/>
          <w:bCs/>
          <w:i/>
          <w:iCs/>
        </w:rPr>
        <w:t xml:space="preserve"> </w:t>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ПАМЯТКА</w:t>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О ПРИЕМЕ НА РАБОТУ БЫВШЕГО ГОСУДАРСТВЕННОГО ИЛИ МУНИЦИПАЛЬНОГО СЛУЖАЩЕГО</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Статьей 12 Федерального закона от 25.12.2008 № 273-ФЗ «О противодействии коррупции» (далее – Федеральный закон), статьей 64.1 Трудового кодекса Российской Федерации установлены:</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1) ограничение по трудоустройству для бывших государственных (муниципальных) служащих (далее – бывший служащий) в течение двух лет после их увольнения с государственной или муниципальной службы;</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2) обязанность бывшего служащего, замещавшего должность государственной или муниципальной службы, включенную в перечень установленный нормативными правовыми актами РФ, в течение двух лет после увольнения с государственной или муниципальной службы при заключении трудовых договоров сообщать работодателю сведения о последнем месте службы;</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3) обязанность работодателя при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бывшим служащим в 10-дневный срок сообщать о заключении такого договора представителю нанимателя (работодателю) по последнему месту службы бывшего служащего в порядке, устанавливаемом нормативными правовыми актами РФ.</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Неисполнение работодателем вышеуказанной обязанности является правонарушением и влечет ответственность, установленную статьей 19.29 Кодекса Российской Федерации об административных правонарушениях Российской Федерации.</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При трудоустройстве на работу бывшего служащего работодателю следует обратить внимание на следующее</w:t>
      </w:r>
    </w:p>
    <w:p>
      <w:pPr>
        <w:pStyle w:val="Normal"/>
        <w:spacing w:lineRule="auto" w:line="240" w:before="0" w:after="0"/>
        <w:ind w:firstLine="708"/>
        <w:rPr>
          <w:rFonts w:ascii="TimesNewRomanPS-BoldItalicMT" w:hAnsi="TimesNewRomanPS-BoldItalicMT" w:cs="TimesNewRomanPS-BoldItalicMT"/>
          <w:bCs/>
          <w:iCs/>
          <w:sz w:val="28"/>
          <w:szCs w:val="28"/>
        </w:rPr>
      </w:pPr>
      <w:r>
        <w:rPr>
          <w:rFonts w:cs="TimesNewRomanPS-BoldItalicMT" w:ascii="TimesNewRomanPS-BoldItalicMT" w:hAnsi="TimesNewRomanPS-BoldItalicMT"/>
          <w:bCs/>
          <w:iCs/>
          <w:sz w:val="28"/>
          <w:szCs w:val="28"/>
        </w:rPr>
        <w:t>1.Выяснить у бывшего служащего:</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1) информацию о последнем месте его службы;</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2) включена ли замещаемая ранее им должность в перечень, установленный нормативным правовым актом РФ, поскольку данный факт является основным критерием необходимости сообщать представителю нанимателя (работодателю) о приеме на работу бывшего служащего.</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2. Необходимо определить, прошел ли двухлетний период после освобождения от ранее замещаемой должности государственной или муниципальной службы и увольнения со службы.</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Если после увольнения бывшего служащего с должности государственной или муниципальной службы, включенной в соответствующий перечень, прошло:</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менее двух лет – требуется сообщить в десятидневный срок о заключении трудового договора или гражданско-правового договора с бывшим служащим;</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более двух лет – сообщать о заключении трудового договора гражданско-правового договора с бывшим служащим не требуется.</w:t>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3. Сообщение о приеме на работу бывшего служащего направляется представителю нанимателя (работодателю) по последнему месту службы бывшего служащего в порядке, установленном постановлением Правительства Российской Федерации от 21.01.2015 № 29, в письменной форме, оформляется на бланке организации за подписью ее руководителя или иного уполномоченного лица, подписавшего трудовой договор со стороны работодателя, либо уполномоченным лицом, подписавшим гражданско-правовой договор.</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а) фамилия, имя, отчество (при наличии) гражданина (в случае, если фамилия, имя или отчество изменялись, указываются прежние);</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б) число, месяц, год и место рождения гражданина;</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г) наименование организации (полное, а также сокращенное (при наличии).</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случае если с гражданином заключен трудовой договор, наряду со сведениями, указанными выше, также указываются следующие данные:</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а) дата и номер приказа (распоряжения) или иного решения работодателя, согласно которому гражданин принят на работу;</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г) должностные обязанности, исполняемые по должности, занимаемой гражданином (указываются основные направления.</w:t>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 xml:space="preserve">Примерный </w:t>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перечень локальных нормативных актов, которые должны быть приняты в муниципальных учреждениях, созданного для выполнения задач, поставленных перед органами местного самоуправления, во исполнение требований статьи 13.3 Федерального закона от 25.12.2008 № 273-ФЗ «О противодействии коррупции»</w:t>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tbl>
      <w:tblPr>
        <w:tblStyle w:val="a3"/>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68"/>
        <w:gridCol w:w="2700"/>
        <w:gridCol w:w="6203"/>
      </w:tblGrid>
      <w:tr>
        <w:trPr/>
        <w:tc>
          <w:tcPr>
            <w:tcW w:w="668" w:type="dxa"/>
            <w:tcBorders/>
          </w:tcPr>
          <w:p>
            <w:pPr>
              <w:pStyle w:val="Normal"/>
              <w:widowControl w:val="false"/>
              <w:suppressAutoHyphens w:val="true"/>
              <w:spacing w:lineRule="auto" w:line="240" w:before="0" w:after="0"/>
              <w:jc w:val="center"/>
              <w:rPr>
                <w:rFonts w:ascii="Times New Roman" w:hAnsi="Times New Roman" w:cs="Times New Roman"/>
                <w:b/>
                <w:b/>
                <w:bCs/>
                <w:iCs/>
                <w:sz w:val="24"/>
                <w:szCs w:val="24"/>
              </w:rPr>
            </w:pPr>
            <w:r>
              <w:rPr>
                <w:rFonts w:eastAsia="" w:cs="Times New Roman" w:ascii="Times New Roman" w:hAnsi="Times New Roman"/>
                <w:b/>
                <w:bCs/>
                <w:iCs/>
                <w:kern w:val="0"/>
                <w:sz w:val="24"/>
                <w:szCs w:val="24"/>
                <w:lang w:val="ru-RU" w:eastAsia="ru-RU" w:bidi="ar-SA"/>
              </w:rPr>
              <w:t xml:space="preserve">№ </w:t>
            </w:r>
            <w:r>
              <w:rPr>
                <w:rFonts w:eastAsia="" w:cs="Times New Roman" w:ascii="Times New Roman" w:hAnsi="Times New Roman"/>
                <w:b/>
                <w:bCs/>
                <w:iCs/>
                <w:kern w:val="0"/>
                <w:sz w:val="24"/>
                <w:szCs w:val="24"/>
                <w:lang w:val="ru-RU" w:eastAsia="ru-RU" w:bidi="ar-SA"/>
              </w:rPr>
              <w:t>п/п</w:t>
            </w:r>
          </w:p>
        </w:tc>
        <w:tc>
          <w:tcPr>
            <w:tcW w:w="2700" w:type="dxa"/>
            <w:tcBorders/>
          </w:tcPr>
          <w:p>
            <w:pPr>
              <w:pStyle w:val="Normal"/>
              <w:widowControl w:val="false"/>
              <w:suppressAutoHyphens w:val="true"/>
              <w:spacing w:lineRule="auto" w:line="240" w:before="0" w:after="0"/>
              <w:jc w:val="center"/>
              <w:rPr>
                <w:rFonts w:ascii="Times New Roman" w:hAnsi="Times New Roman" w:cs="Times New Roman"/>
                <w:b/>
                <w:b/>
                <w:bCs/>
                <w:iCs/>
                <w:sz w:val="24"/>
                <w:szCs w:val="24"/>
              </w:rPr>
            </w:pPr>
            <w:r>
              <w:rPr>
                <w:rFonts w:eastAsia="" w:cs="Times New Roman" w:ascii="Times New Roman" w:hAnsi="Times New Roman"/>
                <w:b/>
                <w:bCs/>
                <w:iCs/>
                <w:kern w:val="0"/>
                <w:sz w:val="24"/>
                <w:szCs w:val="24"/>
                <w:lang w:val="ru-RU" w:eastAsia="ru-RU" w:bidi="ar-SA"/>
              </w:rPr>
              <w:t>Наименование локального нормативного акта</w:t>
            </w:r>
          </w:p>
        </w:tc>
        <w:tc>
          <w:tcPr>
            <w:tcW w:w="6203" w:type="dxa"/>
            <w:tcBorders/>
          </w:tcPr>
          <w:p>
            <w:pPr>
              <w:pStyle w:val="Normal"/>
              <w:widowControl w:val="false"/>
              <w:suppressAutoHyphens w:val="true"/>
              <w:spacing w:lineRule="auto" w:line="240" w:before="0" w:after="0"/>
              <w:jc w:val="both"/>
              <w:rPr>
                <w:rFonts w:ascii="Times New Roman" w:hAnsi="Times New Roman" w:cs="Times New Roman"/>
                <w:b/>
                <w:b/>
                <w:bCs/>
                <w:iCs/>
                <w:sz w:val="28"/>
                <w:szCs w:val="28"/>
              </w:rPr>
            </w:pPr>
            <w:r>
              <w:rPr>
                <w:rFonts w:eastAsia="" w:cs="Times New Roman" w:ascii="Times New Roman" w:hAnsi="Times New Roman"/>
                <w:b/>
                <w:bCs/>
                <w:iCs/>
                <w:kern w:val="0"/>
                <w:sz w:val="28"/>
                <w:szCs w:val="28"/>
                <w:lang w:val="ru-RU" w:eastAsia="ru-RU" w:bidi="ar-SA"/>
              </w:rPr>
              <w:t>Содержание локального нормативного акта</w:t>
            </w:r>
          </w:p>
        </w:tc>
      </w:tr>
      <w:tr>
        <w:trPr/>
        <w:tc>
          <w:tcPr>
            <w:tcW w:w="668"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1</w:t>
            </w:r>
          </w:p>
        </w:tc>
        <w:tc>
          <w:tcPr>
            <w:tcW w:w="2700"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Антикоррупционная политика</w:t>
            </w:r>
          </w:p>
        </w:tc>
        <w:tc>
          <w:tcPr>
            <w:tcW w:w="6203"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основные принципы противодействия коррупции;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правовые и организационные основы предупреждения коррупции и борьбы с ней;</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задачи, функции и полномочия структурного подразделения или должностного лица,</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ответственных за противодействие коррупции;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положение о недопущении составления неофициальной отчетности и использования</w:t>
            </w:r>
          </w:p>
          <w:p>
            <w:pPr>
              <w:pStyle w:val="Normal"/>
              <w:widowControl w:val="false"/>
              <w:suppressAutoHyphens w:val="true"/>
              <w:spacing w:lineRule="auto" w:line="240" w:before="0" w:after="0"/>
              <w:jc w:val="both"/>
              <w:rPr>
                <w:rFonts w:ascii="Times New Roman" w:hAnsi="Times New Roman" w:cs="Times New Roman"/>
                <w:b/>
                <w:b/>
                <w:bCs/>
                <w:iCs/>
                <w:sz w:val="28"/>
                <w:szCs w:val="28"/>
              </w:rPr>
            </w:pPr>
            <w:r>
              <w:rPr>
                <w:rFonts w:eastAsia="" w:cs="Times New Roman" w:ascii="Times New Roman" w:hAnsi="Times New Roman"/>
                <w:kern w:val="0"/>
                <w:sz w:val="28"/>
                <w:szCs w:val="28"/>
                <w:lang w:val="ru-RU" w:eastAsia="ru-RU" w:bidi="ar-SA"/>
              </w:rPr>
              <w:t>поддельных документов</w:t>
            </w:r>
          </w:p>
        </w:tc>
      </w:tr>
      <w:tr>
        <w:trPr/>
        <w:tc>
          <w:tcPr>
            <w:tcW w:w="668"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2</w:t>
            </w:r>
          </w:p>
        </w:tc>
        <w:tc>
          <w:tcPr>
            <w:tcW w:w="2700"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План противодействия коррупции</w:t>
            </w:r>
          </w:p>
        </w:tc>
        <w:tc>
          <w:tcPr>
            <w:tcW w:w="6203"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мероприятия, направленные на реализацию ст. 13.3 Федерального закона</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 противодействии коррупции»;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мероприятия по антикоррупционному просвещению и пропаганде;</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мероприятия, направленные на обеспечение права граждан на доступ к информации</w:t>
            </w:r>
          </w:p>
          <w:p>
            <w:pPr>
              <w:pStyle w:val="Normal"/>
              <w:widowControl w:val="false"/>
              <w:suppressAutoHyphens w:val="true"/>
              <w:spacing w:lineRule="auto" w:line="240" w:before="0" w:after="0"/>
              <w:jc w:val="both"/>
              <w:rPr>
                <w:rFonts w:ascii="Times New Roman" w:hAnsi="Times New Roman" w:cs="Times New Roman"/>
                <w:b/>
                <w:b/>
                <w:bCs/>
                <w:iCs/>
                <w:sz w:val="28"/>
                <w:szCs w:val="28"/>
              </w:rPr>
            </w:pPr>
            <w:r>
              <w:rPr>
                <w:rFonts w:eastAsia="" w:cs="Times New Roman" w:ascii="Times New Roman" w:hAnsi="Times New Roman"/>
                <w:kern w:val="0"/>
                <w:sz w:val="28"/>
                <w:szCs w:val="28"/>
                <w:lang w:val="ru-RU" w:eastAsia="ru-RU" w:bidi="ar-SA"/>
              </w:rPr>
              <w:t>о деятельности организации</w:t>
            </w:r>
          </w:p>
        </w:tc>
      </w:tr>
      <w:tr>
        <w:trPr/>
        <w:tc>
          <w:tcPr>
            <w:tcW w:w="668"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3</w:t>
            </w:r>
          </w:p>
        </w:tc>
        <w:tc>
          <w:tcPr>
            <w:tcW w:w="2700"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Кодекс этики и служебного поведения</w:t>
            </w:r>
          </w:p>
        </w:tc>
        <w:tc>
          <w:tcPr>
            <w:tcW w:w="6203"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этические нормы служебного поведения работников</w:t>
            </w:r>
          </w:p>
          <w:p>
            <w:pPr>
              <w:pStyle w:val="Normal"/>
              <w:widowControl w:val="false"/>
              <w:suppressAutoHyphens w:val="true"/>
              <w:spacing w:lineRule="auto" w:line="240" w:before="0" w:after="0"/>
              <w:jc w:val="both"/>
              <w:rPr>
                <w:rFonts w:ascii="Times New Roman" w:hAnsi="Times New Roman" w:cs="Times New Roman"/>
                <w:b/>
                <w:b/>
                <w:bCs/>
                <w:iCs/>
                <w:sz w:val="28"/>
                <w:szCs w:val="28"/>
              </w:rPr>
            </w:pPr>
            <w:r>
              <w:rPr>
                <w:rFonts w:eastAsia="" w:cs="Times New Roman" w:ascii="Times New Roman" w:hAnsi="Times New Roman"/>
                <w:kern w:val="0"/>
                <w:sz w:val="28"/>
                <w:szCs w:val="28"/>
                <w:lang w:val="ru-RU" w:eastAsia="ru-RU" w:bidi="ar-SA"/>
              </w:rPr>
              <w:t>- общие ценности, принципы и правила поведения</w:t>
            </w:r>
          </w:p>
        </w:tc>
      </w:tr>
      <w:tr>
        <w:trPr/>
        <w:tc>
          <w:tcPr>
            <w:tcW w:w="668"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4</w:t>
            </w:r>
          </w:p>
        </w:tc>
        <w:tc>
          <w:tcPr>
            <w:tcW w:w="2700"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Стандарты и процедуры, направленные на обеспечение добросовестной работы организации</w:t>
            </w:r>
          </w:p>
        </w:tc>
        <w:tc>
          <w:tcPr>
            <w:tcW w:w="6203"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процедуры информирования работниками работодателя о случаях склонения их</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к совершению коррупционных нарушений и порядка рассмотрения таких сообщений,</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процедуры информирования работодателя о ставшей известной работнику информации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 случаях совершения коррупционных правонарушений другими работниками,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контрагентами организации или иными лицами и порядка рассмотрения таких сообщений,</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процедура информирования работниками работодателя о возникновении конфликта</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интересов и порядка урегулирования выявленного конфликта интересов,</w:t>
            </w:r>
          </w:p>
          <w:p>
            <w:pPr>
              <w:pStyle w:val="Normal"/>
              <w:widowControl w:val="false"/>
              <w:suppressAutoHyphens w:val="true"/>
              <w:spacing w:lineRule="auto" w:line="240" w:before="0" w:after="0"/>
              <w:jc w:val="both"/>
              <w:rPr>
                <w:rFonts w:ascii="Times New Roman" w:hAnsi="Times New Roman" w:cs="Times New Roman"/>
                <w:b/>
                <w:b/>
                <w:bCs/>
                <w:iCs/>
                <w:sz w:val="28"/>
                <w:szCs w:val="28"/>
              </w:rPr>
            </w:pPr>
            <w:r>
              <w:rPr>
                <w:rFonts w:eastAsia="" w:cs="Times New Roman" w:ascii="Times New Roman" w:hAnsi="Times New Roman"/>
                <w:kern w:val="0"/>
                <w:sz w:val="28"/>
                <w:szCs w:val="28"/>
                <w:lang w:val="ru-RU" w:eastAsia="ru-RU" w:bidi="ar-SA"/>
              </w:rPr>
              <w:t>- стандарты, касающиеся получения подарков (учитывая нормы ГК РФ)</w:t>
            </w:r>
          </w:p>
        </w:tc>
      </w:tr>
      <w:tr>
        <w:trPr/>
        <w:tc>
          <w:tcPr>
            <w:tcW w:w="668"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5</w:t>
            </w:r>
          </w:p>
        </w:tc>
        <w:tc>
          <w:tcPr>
            <w:tcW w:w="2700" w:type="dxa"/>
            <w:tcBorders/>
          </w:tcPr>
          <w:p>
            <w:pPr>
              <w:pStyle w:val="Normal"/>
              <w:widowControl w:val="false"/>
              <w:suppressAutoHyphens w:val="true"/>
              <w:spacing w:lineRule="auto" w:line="240" w:before="0" w:after="0"/>
              <w:jc w:val="center"/>
              <w:rPr>
                <w:rFonts w:ascii="Times New Roman" w:hAnsi="Times New Roman" w:cs="Times New Roman"/>
                <w:bCs/>
                <w:iCs/>
                <w:sz w:val="28"/>
                <w:szCs w:val="28"/>
              </w:rPr>
            </w:pPr>
            <w:r>
              <w:rPr>
                <w:rFonts w:eastAsia="" w:cs="Times New Roman" w:ascii="Times New Roman" w:hAnsi="Times New Roman"/>
                <w:bCs/>
                <w:iCs/>
                <w:kern w:val="0"/>
                <w:sz w:val="28"/>
                <w:szCs w:val="28"/>
                <w:lang w:val="ru-RU" w:eastAsia="ru-RU" w:bidi="ar-SA"/>
              </w:rPr>
              <w:t>Положение о конфликте интересов (может быть самостоятельный акт либо детализированный раздел в Кодексе этики и служебного поведения)</w:t>
            </w:r>
          </w:p>
        </w:tc>
        <w:tc>
          <w:tcPr>
            <w:tcW w:w="6203"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порядок выявления и урегулирования конфликтов интересов, возникающих у работников</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организации в ходе выполнения ими трудовых обязанностей;</w:t>
            </w:r>
          </w:p>
          <w:p>
            <w:pPr>
              <w:pStyle w:val="Normal"/>
              <w:widowControl w:val="false"/>
              <w:suppressAutoHyphens w:val="true"/>
              <w:spacing w:lineRule="auto" w:line="240" w:before="0" w:after="0"/>
              <w:jc w:val="both"/>
              <w:rPr>
                <w:rFonts w:ascii="Times New Roman" w:hAnsi="Times New Roman" w:cs="Times New Roman"/>
                <w:b/>
                <w:b/>
                <w:bCs/>
                <w:iCs/>
                <w:sz w:val="28"/>
                <w:szCs w:val="28"/>
              </w:rPr>
            </w:pPr>
            <w:r>
              <w:rPr>
                <w:rFonts w:eastAsia="" w:cs="Times New Roman" w:ascii="Times New Roman" w:hAnsi="Times New Roman"/>
                <w:kern w:val="0"/>
                <w:sz w:val="28"/>
                <w:szCs w:val="28"/>
                <w:lang w:val="ru-RU" w:eastAsia="ru-RU" w:bidi="ar-SA"/>
              </w:rPr>
              <w:t>- обязанности работников в связи с раскрытием и урегулированием конфликта интересов</w:t>
            </w:r>
          </w:p>
        </w:tc>
      </w:tr>
    </w:tbl>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ЭТО ВАЖНО ЗНАТЬ!</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Письменные заявления о преступлениях принимаются в правоохранительных органах независимо от места и времени преступления круглосуточно.</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Вы имеете право получить копию своего заявления с отметкой о регистрации его в правоохранительном органе или талон- 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осуществляющих прокурорский надзор за деятельностью правоохранительных органов и силовых структур.</w:t>
      </w:r>
    </w:p>
    <w:p>
      <w:pPr>
        <w:pStyle w:val="Normal"/>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В СЛУЧАЕ ОТСУТСТВИЯ РЕАГИРОВАНИЯ НА ВАШИ ОБРАЩЕНИЯ В ПРАВООХРАНИТЕЛЬНЫЕ</w:t>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ОРГАНЫ ВЫ МОЖЕТЕ:</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1. Обратиться с жалобой в Генеральную прокуратуру Российской Федерации (125993, ГСП -3, Россия, Москва, ул. Б. Дмитровка, 15а)</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2. Сообщить в Общественную палату Российской Федерации по проблемам безопасности граждан и взаимодействию с системой судебно-правоохранительных органов и Межкомиссионную рабочую группу по развитию системы общественного контроля и противодействию коррупции Общественной палаты Российской Федерации (125993, Москва, ГСП-3, Миусская пл., д. 7, стр. 1, Телефон: (495) 251-60-04).</w:t>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sectPr>
          <w:type w:val="nextPage"/>
          <w:pgSz w:w="11906" w:h="16838"/>
          <w:pgMar w:left="1701" w:right="850" w:gutter="0" w:header="0" w:top="1134" w:footer="0" w:bottom="1134"/>
          <w:pgNumType w:fmt="decimal"/>
          <w:formProt w:val="false"/>
          <w:textDirection w:val="lrTb"/>
          <w:docGrid w:type="default" w:linePitch="360" w:charSpace="4096"/>
        </w:sect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Ограничения, запреты и обязанности, установленные в отношении работников муниципальных</w:t>
      </w:r>
      <w:bookmarkStart w:id="0" w:name="_GoBack"/>
      <w:bookmarkEnd w:id="0"/>
      <w:r>
        <w:rPr>
          <w:rFonts w:cs="Times New Roman" w:ascii="Times New Roman" w:hAnsi="Times New Roman"/>
          <w:b/>
          <w:bCs/>
          <w:sz w:val="28"/>
          <w:szCs w:val="28"/>
        </w:rPr>
        <w:t xml:space="preserve"> учреждениях</w:t>
      </w:r>
    </w:p>
    <w:p>
      <w:pPr>
        <w:pStyle w:val="Normal"/>
        <w:spacing w:lineRule="auto" w:line="240" w:before="0" w:after="0"/>
        <w:ind w:firstLine="708"/>
        <w:jc w:val="center"/>
        <w:rPr>
          <w:rFonts w:ascii="Times New Roman" w:hAnsi="Times New Roman" w:cs="Times New Roman"/>
          <w:b/>
          <w:b/>
          <w:bCs/>
          <w:sz w:val="28"/>
          <w:szCs w:val="28"/>
        </w:rPr>
      </w:pPr>
      <w:r>
        <w:rPr>
          <w:rFonts w:cs="Times New Roman" w:ascii="Times New Roman" w:hAnsi="Times New Roman"/>
          <w:b/>
          <w:bCs/>
          <w:sz w:val="28"/>
          <w:szCs w:val="28"/>
        </w:rPr>
      </w:r>
    </w:p>
    <w:tbl>
      <w:tblPr>
        <w:tblStyle w:val="a3"/>
        <w:tblW w:w="147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062"/>
        <w:gridCol w:w="5410"/>
        <w:gridCol w:w="6314"/>
      </w:tblGrid>
      <w:tr>
        <w:trPr/>
        <w:tc>
          <w:tcPr>
            <w:tcW w:w="3062" w:type="dxa"/>
            <w:tcBorders/>
          </w:tcPr>
          <w:p>
            <w:pPr>
              <w:pStyle w:val="Normal"/>
              <w:widowControl w:val="false"/>
              <w:suppressAutoHyphens w:val="true"/>
              <w:spacing w:lineRule="auto" w:line="240" w:before="0" w:after="0"/>
              <w:jc w:val="center"/>
              <w:rPr>
                <w:rFonts w:ascii="Times New Roman" w:hAnsi="Times New Roman" w:cs="Times New Roman"/>
                <w:b/>
                <w:b/>
                <w:bCs/>
                <w:iCs/>
                <w:sz w:val="24"/>
                <w:szCs w:val="24"/>
              </w:rPr>
            </w:pPr>
            <w:r>
              <w:rPr>
                <w:rFonts w:eastAsia="" w:cs="Times New Roman" w:ascii="Times New Roman" w:hAnsi="Times New Roman"/>
                <w:b/>
                <w:bCs/>
                <w:iCs/>
                <w:kern w:val="0"/>
                <w:sz w:val="24"/>
                <w:szCs w:val="24"/>
                <w:lang w:val="ru-RU" w:eastAsia="ru-RU" w:bidi="ar-SA"/>
              </w:rPr>
              <w:t>Учреждение (предприятие), нормативная правовая основа</w:t>
            </w:r>
          </w:p>
        </w:tc>
        <w:tc>
          <w:tcPr>
            <w:tcW w:w="5410" w:type="dxa"/>
            <w:tcBorders/>
          </w:tcPr>
          <w:p>
            <w:pPr>
              <w:pStyle w:val="Normal"/>
              <w:widowControl w:val="false"/>
              <w:suppressAutoHyphens w:val="true"/>
              <w:spacing w:lineRule="auto" w:line="240" w:before="0" w:after="0"/>
              <w:jc w:val="center"/>
              <w:rPr>
                <w:rFonts w:ascii="Times New Roman" w:hAnsi="Times New Roman" w:cs="Times New Roman"/>
                <w:b/>
                <w:b/>
                <w:bCs/>
                <w:iCs/>
                <w:sz w:val="24"/>
                <w:szCs w:val="24"/>
              </w:rPr>
            </w:pPr>
            <w:r>
              <w:rPr>
                <w:rFonts w:eastAsia="" w:cs="Times New Roman" w:ascii="Times New Roman" w:hAnsi="Times New Roman"/>
                <w:b/>
                <w:bCs/>
                <w:iCs/>
                <w:kern w:val="0"/>
                <w:sz w:val="24"/>
                <w:szCs w:val="24"/>
                <w:lang w:val="ru-RU" w:eastAsia="ru-RU" w:bidi="ar-SA"/>
              </w:rPr>
              <w:t>Заинтересованность и конфликт интересов</w:t>
            </w:r>
          </w:p>
        </w:tc>
        <w:tc>
          <w:tcPr>
            <w:tcW w:w="6314" w:type="dxa"/>
            <w:tcBorders/>
          </w:tcPr>
          <w:p>
            <w:pPr>
              <w:pStyle w:val="Normal"/>
              <w:widowControl w:val="false"/>
              <w:suppressAutoHyphens w:val="true"/>
              <w:spacing w:lineRule="auto" w:line="240" w:before="0" w:after="0"/>
              <w:jc w:val="center"/>
              <w:rPr>
                <w:rFonts w:ascii="Times New Roman" w:hAnsi="Times New Roman" w:cs="Times New Roman"/>
                <w:b/>
                <w:b/>
                <w:bCs/>
                <w:iCs/>
                <w:sz w:val="24"/>
                <w:szCs w:val="24"/>
              </w:rPr>
            </w:pPr>
            <w:r>
              <w:rPr>
                <w:rFonts w:eastAsia="" w:cs="Times New Roman" w:ascii="Times New Roman" w:hAnsi="Times New Roman"/>
                <w:b/>
                <w:bCs/>
                <w:iCs/>
                <w:kern w:val="0"/>
                <w:sz w:val="24"/>
                <w:szCs w:val="24"/>
                <w:lang w:val="ru-RU" w:eastAsia="ru-RU" w:bidi="ar-SA"/>
              </w:rPr>
              <w:t>Механизм урегулирования ситуаций личной заинтересованности и конфликта интересов</w:t>
            </w:r>
          </w:p>
        </w:tc>
      </w:tr>
      <w:tr>
        <w:trPr/>
        <w:tc>
          <w:tcPr>
            <w:tcW w:w="3062"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Бюджетное, казенное</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учреждение</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(статья 27</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Федерального закона</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от 12.01.1996</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 xml:space="preserve">№ </w:t>
            </w:r>
            <w:r>
              <w:rPr>
                <w:rFonts w:eastAsia="" w:cs="Times New Roman" w:ascii="Times New Roman" w:hAnsi="Times New Roman"/>
                <w:b/>
                <w:bCs/>
                <w:kern w:val="0"/>
                <w:sz w:val="24"/>
                <w:szCs w:val="24"/>
                <w:lang w:val="ru-RU" w:eastAsia="ru-RU" w:bidi="ar-SA"/>
              </w:rPr>
              <w:t>7-ФЗ</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«О некоммерческих</w:t>
            </w:r>
          </w:p>
          <w:p>
            <w:pPr>
              <w:pStyle w:val="Normal"/>
              <w:widowControl w:val="false"/>
              <w:suppressAutoHyphens w:val="true"/>
              <w:spacing w:lineRule="auto" w:line="240" w:before="0" w:after="0"/>
              <w:jc w:val="center"/>
              <w:rPr>
                <w:rFonts w:ascii="Times New Roman" w:hAnsi="Times New Roman" w:cs="Times New Roman"/>
                <w:bCs/>
                <w:iCs/>
                <w:sz w:val="24"/>
                <w:szCs w:val="24"/>
              </w:rPr>
            </w:pPr>
            <w:r>
              <w:rPr>
                <w:rFonts w:eastAsia="" w:cs="Times New Roman" w:ascii="Times New Roman" w:hAnsi="Times New Roman"/>
                <w:b/>
                <w:bCs/>
                <w:kern w:val="0"/>
                <w:sz w:val="24"/>
                <w:szCs w:val="24"/>
                <w:lang w:val="ru-RU" w:eastAsia="ru-RU" w:bidi="ar-SA"/>
              </w:rPr>
              <w:t>организациях»)</w:t>
            </w:r>
          </w:p>
        </w:tc>
        <w:tc>
          <w:tcPr>
            <w:tcW w:w="5410" w:type="dxa"/>
            <w:tcBorders/>
          </w:tcPr>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Заинтересованными в совершении учреждением (бюджетным, казенным) тех или иных действий, в том числе сделок, с другими организациями или гражданами, признаются:</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1) руководитель (заместитель руководителя) учреждения;</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2) лицо, входящее в состав органов управления учреждения или органов надзора за ее деятельностью, при условии, если указанные лица:</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Arial Unicode MS" w:cs="Times New Roman" w:ascii="Times New Roman" w:hAnsi="Times New Roman"/>
                <w:kern w:val="0"/>
                <w:sz w:val="24"/>
                <w:szCs w:val="24"/>
                <w:lang w:val="ru-RU" w:eastAsia="ru-RU" w:bidi="ar-SA"/>
              </w:rPr>
              <w:t>-</w:t>
            </w:r>
            <w:r>
              <w:rPr>
                <w:rFonts w:eastAsia="Wingdings-Regular" w:cs="Times New Roman" w:ascii="Times New Roman" w:hAnsi="Times New Roman"/>
                <w:kern w:val="0"/>
                <w:sz w:val="24"/>
                <w:szCs w:val="24"/>
                <w:lang w:val="ru-RU" w:eastAsia="ru-RU" w:bidi="ar-SA"/>
              </w:rPr>
              <w:t xml:space="preserve"> </w:t>
            </w:r>
            <w:r>
              <w:rPr>
                <w:rFonts w:eastAsia="" w:cs="Times New Roman" w:ascii="Times New Roman" w:hAnsi="Times New Roman"/>
                <w:bCs/>
                <w:kern w:val="0"/>
                <w:sz w:val="24"/>
                <w:szCs w:val="24"/>
                <w:lang w:val="ru-RU" w:eastAsia="ru-RU" w:bidi="ar-SA"/>
              </w:rPr>
              <w:t>состоят с этими организациями или</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гражданами в трудовых отношениях;</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Arial Unicode MS" w:cs="Times New Roman" w:ascii="Times New Roman" w:hAnsi="Times New Roman"/>
                <w:kern w:val="0"/>
                <w:sz w:val="24"/>
                <w:szCs w:val="24"/>
                <w:lang w:val="ru-RU" w:eastAsia="ru-RU" w:bidi="ar-SA"/>
              </w:rPr>
              <w:t>-</w:t>
            </w:r>
            <w:r>
              <w:rPr>
                <w:rFonts w:eastAsia="Wingdings-Regular" w:cs="Times New Roman" w:ascii="Times New Roman" w:hAnsi="Times New Roman"/>
                <w:kern w:val="0"/>
                <w:sz w:val="24"/>
                <w:szCs w:val="24"/>
                <w:lang w:val="ru-RU" w:eastAsia="ru-RU" w:bidi="ar-SA"/>
              </w:rPr>
              <w:t xml:space="preserve"> </w:t>
            </w:r>
            <w:r>
              <w:rPr>
                <w:rFonts w:eastAsia="" w:cs="Times New Roman" w:ascii="Times New Roman" w:hAnsi="Times New Roman"/>
                <w:bCs/>
                <w:kern w:val="0"/>
                <w:sz w:val="24"/>
                <w:szCs w:val="24"/>
                <w:lang w:val="ru-RU" w:eastAsia="ru-RU" w:bidi="ar-SA"/>
              </w:rPr>
              <w:t>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При этом указанные организации или граждане:</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Arial Unicode MS" w:cs="Times New Roman" w:ascii="Times New Roman" w:hAnsi="Times New Roman"/>
                <w:kern w:val="0"/>
                <w:sz w:val="24"/>
                <w:szCs w:val="24"/>
                <w:lang w:val="ru-RU" w:eastAsia="ru-RU" w:bidi="ar-SA"/>
              </w:rPr>
              <w:t>-</w:t>
            </w:r>
            <w:r>
              <w:rPr>
                <w:rFonts w:eastAsia="SymbolMT" w:cs="Times New Roman" w:ascii="Times New Roman" w:hAnsi="Times New Roman"/>
                <w:kern w:val="0"/>
                <w:sz w:val="24"/>
                <w:szCs w:val="24"/>
                <w:lang w:val="ru-RU" w:eastAsia="ru-RU" w:bidi="ar-SA"/>
              </w:rPr>
              <w:t xml:space="preserve"> </w:t>
            </w:r>
            <w:r>
              <w:rPr>
                <w:rFonts w:eastAsia="" w:cs="Times New Roman" w:ascii="Times New Roman" w:hAnsi="Times New Roman"/>
                <w:bCs/>
                <w:kern w:val="0"/>
                <w:sz w:val="24"/>
                <w:szCs w:val="24"/>
                <w:lang w:val="ru-RU" w:eastAsia="ru-RU" w:bidi="ar-SA"/>
              </w:rPr>
              <w:t>являются поставщиками товаров (услуг) для учреждения;</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Arial Unicode MS" w:cs="Times New Roman" w:ascii="Times New Roman" w:hAnsi="Times New Roman"/>
                <w:kern w:val="0"/>
                <w:sz w:val="24"/>
                <w:szCs w:val="24"/>
                <w:lang w:val="ru-RU" w:eastAsia="ru-RU" w:bidi="ar-SA"/>
              </w:rPr>
              <w:t>-</w:t>
            </w:r>
            <w:r>
              <w:rPr>
                <w:rFonts w:eastAsia="SymbolMT" w:cs="Times New Roman" w:ascii="Times New Roman" w:hAnsi="Times New Roman"/>
                <w:kern w:val="0"/>
                <w:sz w:val="24"/>
                <w:szCs w:val="24"/>
                <w:lang w:val="ru-RU" w:eastAsia="ru-RU" w:bidi="ar-SA"/>
              </w:rPr>
              <w:t xml:space="preserve"> </w:t>
            </w:r>
            <w:r>
              <w:rPr>
                <w:rFonts w:eastAsia="" w:cs="Times New Roman" w:ascii="Times New Roman" w:hAnsi="Times New Roman"/>
                <w:bCs/>
                <w:kern w:val="0"/>
                <w:sz w:val="24"/>
                <w:szCs w:val="24"/>
                <w:lang w:val="ru-RU" w:eastAsia="ru-RU" w:bidi="ar-SA"/>
              </w:rPr>
              <w:t>являются крупными потребителями товаров (услуг), производимых учреждением;</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Arial Unicode MS" w:cs="Times New Roman" w:ascii="Times New Roman" w:hAnsi="Times New Roman"/>
                <w:kern w:val="0"/>
                <w:sz w:val="24"/>
                <w:szCs w:val="24"/>
                <w:lang w:val="ru-RU" w:eastAsia="ru-RU" w:bidi="ar-SA"/>
              </w:rPr>
              <w:t>-</w:t>
            </w:r>
            <w:r>
              <w:rPr>
                <w:rFonts w:eastAsia="SymbolMT" w:cs="Times New Roman" w:ascii="Times New Roman" w:hAnsi="Times New Roman"/>
                <w:kern w:val="0"/>
                <w:sz w:val="24"/>
                <w:szCs w:val="24"/>
                <w:lang w:val="ru-RU" w:eastAsia="ru-RU" w:bidi="ar-SA"/>
              </w:rPr>
              <w:t xml:space="preserve"> </w:t>
            </w:r>
            <w:r>
              <w:rPr>
                <w:rFonts w:eastAsia="" w:cs="Times New Roman" w:ascii="Times New Roman" w:hAnsi="Times New Roman"/>
                <w:bCs/>
                <w:kern w:val="0"/>
                <w:sz w:val="24"/>
                <w:szCs w:val="24"/>
                <w:lang w:val="ru-RU" w:eastAsia="ru-RU" w:bidi="ar-SA"/>
              </w:rPr>
              <w:t>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tc>
        <w:tc>
          <w:tcPr>
            <w:tcW w:w="6314"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В случае, если </w:t>
            </w:r>
            <w:r>
              <w:rPr>
                <w:rFonts w:eastAsia="" w:cs="Times New Roman" w:ascii="Times New Roman" w:hAnsi="Times New Roman"/>
                <w:b/>
                <w:bCs/>
                <w:kern w:val="0"/>
                <w:sz w:val="24"/>
                <w:szCs w:val="24"/>
                <w:lang w:val="ru-RU" w:eastAsia="ru-RU" w:bidi="ar-SA"/>
              </w:rPr>
              <w:t xml:space="preserve">заинтересованное лицо </w:t>
            </w:r>
            <w:r>
              <w:rPr>
                <w:rFonts w:eastAsia="" w:cs="Times New Roman" w:ascii="Times New Roman" w:hAnsi="Times New Roman"/>
                <w:kern w:val="0"/>
                <w:sz w:val="24"/>
                <w:szCs w:val="24"/>
                <w:lang w:val="ru-RU" w:eastAsia="ru-RU" w:bidi="ar-SA"/>
              </w:rPr>
              <w:t>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1) оно обязано сообщить о своей заинтересованности органу управления учреждения или органу надзора за ее деятельностью </w:t>
            </w:r>
            <w:r>
              <w:rPr>
                <w:rFonts w:eastAsia="" w:cs="Times New Roman" w:ascii="Times New Roman" w:hAnsi="Times New Roman"/>
                <w:b/>
                <w:bCs/>
                <w:kern w:val="0"/>
                <w:sz w:val="24"/>
                <w:szCs w:val="24"/>
                <w:lang w:val="ru-RU" w:eastAsia="ru-RU" w:bidi="ar-SA"/>
              </w:rPr>
              <w:t>до момента принятия решения о</w:t>
            </w: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b/>
                <w:bCs/>
                <w:kern w:val="0"/>
                <w:sz w:val="24"/>
                <w:szCs w:val="24"/>
                <w:lang w:val="ru-RU" w:eastAsia="ru-RU" w:bidi="ar-SA"/>
              </w:rPr>
              <w:t xml:space="preserve">заключении сделки </w:t>
            </w:r>
            <w:r>
              <w:rPr>
                <w:rFonts w:eastAsia="" w:cs="Times New Roman" w:ascii="Times New Roman" w:hAnsi="Times New Roman"/>
                <w:kern w:val="0"/>
                <w:sz w:val="24"/>
                <w:szCs w:val="24"/>
                <w:lang w:val="ru-RU" w:eastAsia="ru-RU" w:bidi="ar-SA"/>
              </w:rPr>
              <w:t>(в бюджетном учреждении - соответствующему органу, осуществляющему функции и полномочия учредителя);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2) </w:t>
            </w:r>
            <w:r>
              <w:rPr>
                <w:rFonts w:eastAsia="" w:cs="Times New Roman" w:ascii="Times New Roman" w:hAnsi="Times New Roman"/>
                <w:b/>
                <w:bCs/>
                <w:kern w:val="0"/>
                <w:sz w:val="24"/>
                <w:szCs w:val="24"/>
                <w:lang w:val="ru-RU" w:eastAsia="ru-RU" w:bidi="ar-SA"/>
              </w:rPr>
              <w:t xml:space="preserve">сделка должна быть одобрена </w:t>
            </w:r>
            <w:r>
              <w:rPr>
                <w:rFonts w:eastAsia="" w:cs="Times New Roman" w:ascii="Times New Roman" w:hAnsi="Times New Roman"/>
                <w:kern w:val="0"/>
                <w:sz w:val="24"/>
                <w:szCs w:val="24"/>
                <w:lang w:val="ru-RU" w:eastAsia="ru-RU" w:bidi="ar-SA"/>
              </w:rPr>
              <w:t>органом управления учреждения или органом надзора за ее деятельностью (в</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бюджетном учреждении - соответствующим органом, осуществляющим функции и полномочия учредителя).</w:t>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eastAsia="" w:cs="TimesNewRomanPS-BoldMT" w:ascii="TimesNewRomanPS-BoldMT" w:hAnsi="TimesNewRomanPS-BoldMT"/>
                <w:b/>
                <w:bCs/>
                <w:kern w:val="0"/>
                <w:sz w:val="24"/>
                <w:szCs w:val="24"/>
                <w:lang w:val="ru-RU" w:eastAsia="ru-RU" w:bidi="ar-SA"/>
              </w:rPr>
              <w:t>_____________________________________</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Заинтересованные лица:</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обязаны соблюдать интересы учреждения, прежде всего в отношении целей ее деятельности,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
        </w:tc>
      </w:tr>
      <w:tr>
        <w:trPr/>
        <w:tc>
          <w:tcPr>
            <w:tcW w:w="3062"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Муниципальные унитарные предприятия</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2"/>
                <w:szCs w:val="24"/>
              </w:rPr>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(статья 21 Федерального</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закона от 14.11.2002</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 xml:space="preserve">№ </w:t>
            </w:r>
            <w:r>
              <w:rPr>
                <w:rFonts w:eastAsia="" w:cs="Times New Roman" w:ascii="Times New Roman" w:hAnsi="Times New Roman"/>
                <w:b/>
                <w:bCs/>
                <w:kern w:val="0"/>
                <w:sz w:val="24"/>
                <w:szCs w:val="24"/>
                <w:lang w:val="ru-RU" w:eastAsia="ru-RU" w:bidi="ar-SA"/>
              </w:rPr>
              <w:t>161-ФЗ «О</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государственных и</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муниципальных</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унитарных</w:t>
            </w:r>
          </w:p>
          <w:p>
            <w:pPr>
              <w:pStyle w:val="Normal"/>
              <w:widowControl w:val="false"/>
              <w:suppressAutoHyphens w:val="true"/>
              <w:spacing w:lineRule="auto" w:line="240" w:before="0" w:after="0"/>
              <w:jc w:val="center"/>
              <w:rPr>
                <w:rFonts w:ascii="TimesNewRomanPS-BoldMT" w:hAnsi="TimesNewRomanPS-BoldMT" w:cs="TimesNewRomanPS-BoldMT"/>
                <w:bCs/>
                <w:sz w:val="24"/>
                <w:szCs w:val="24"/>
              </w:rPr>
            </w:pPr>
            <w:r>
              <w:rPr>
                <w:rFonts w:eastAsia="" w:cs="Times New Roman" w:ascii="Times New Roman" w:hAnsi="Times New Roman"/>
                <w:b/>
                <w:bCs/>
                <w:kern w:val="0"/>
                <w:sz w:val="24"/>
                <w:szCs w:val="24"/>
                <w:lang w:val="ru-RU" w:eastAsia="ru-RU" w:bidi="ar-SA"/>
              </w:rPr>
              <w:t>предприятиях»)</w:t>
            </w:r>
          </w:p>
        </w:tc>
        <w:tc>
          <w:tcPr>
            <w:tcW w:w="5410" w:type="dxa"/>
            <w:tcBorders/>
          </w:tcPr>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Руководитель унитарного предприятия не вправе:</w:t>
            </w:r>
          </w:p>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быть учредителем (участником) юридического лица;</w:t>
            </w:r>
          </w:p>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pPr>
              <w:pStyle w:val="Normal"/>
              <w:widowControl w:val="false"/>
              <w:suppressAutoHyphens w:val="true"/>
              <w:spacing w:lineRule="auto" w:line="240" w:before="0" w:after="0"/>
              <w:jc w:val="left"/>
              <w:rPr>
                <w:rFonts w:ascii="TimesNewRomanPS-BoldItalicMT" w:hAnsi="TimesNewRomanPS-BoldItalicMT" w:cs="TimesNewRomanPS-BoldItalicMT"/>
                <w:b/>
                <w:b/>
                <w:bCs/>
                <w:i/>
                <w:i/>
                <w:iCs/>
                <w:sz w:val="24"/>
                <w:szCs w:val="24"/>
              </w:rPr>
            </w:pPr>
            <w:r>
              <w:rPr>
                <w:rFonts w:eastAsia="" w:cs="TimesNewRomanPS-BoldItalicMT" w:ascii="TimesNewRomanPS-BoldItalicMT" w:hAnsi="TimesNewRomanPS-BoldItalicMT"/>
                <w:b/>
                <w:bCs/>
                <w:i/>
                <w:iCs/>
                <w:kern w:val="0"/>
                <w:sz w:val="24"/>
                <w:szCs w:val="24"/>
                <w:lang w:val="ru-RU" w:eastAsia="ru-RU" w:bidi="ar-SA"/>
              </w:rPr>
              <w:t>Справочно:</w:t>
            </w:r>
          </w:p>
          <w:p>
            <w:pPr>
              <w:pStyle w:val="Normal"/>
              <w:widowControl w:val="false"/>
              <w:suppressAutoHyphens w:val="true"/>
              <w:spacing w:lineRule="auto" w:line="240" w:before="0" w:after="0"/>
              <w:jc w:val="both"/>
              <w:rPr>
                <w:rFonts w:ascii="TimesNewRomanPS-ItalicMT" w:hAnsi="TimesNewRomanPS-ItalicMT" w:cs="TimesNewRomanPS-ItalicMT"/>
                <w:i/>
                <w:i/>
                <w:iCs/>
                <w:sz w:val="24"/>
                <w:szCs w:val="24"/>
              </w:rPr>
            </w:pPr>
            <w:r>
              <w:rPr>
                <w:rFonts w:eastAsia="" w:cs="TimesNewRomanPS-ItalicMT" w:ascii="TimesNewRomanPS-ItalicMT" w:hAnsi="TimesNewRomanPS-ItalicMT"/>
                <w:i/>
                <w:iCs/>
                <w:kern w:val="0"/>
                <w:sz w:val="24"/>
                <w:szCs w:val="24"/>
                <w:lang w:val="ru-RU" w:eastAsia="ru-RU" w:bidi="ar-SA"/>
              </w:rPr>
              <w:t>Данный запрет распространяется на осуществление трудовой деятельности по совместительству (как внешнего, так и внутреннего) и путем совмещения профессий (должностей).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заниматься предпринимательской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деятельностью;</w:t>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left"/>
              <w:rPr>
                <w:rFonts w:ascii="TimesNewRomanPS-BoldMT" w:hAnsi="TimesNewRomanPS-BoldMT" w:cs="TimesNewRomanPS-BoldMT"/>
                <w:b/>
                <w:b/>
                <w:bCs/>
                <w:sz w:val="24"/>
                <w:szCs w:val="24"/>
              </w:rPr>
            </w:pPr>
            <w:r>
              <w:rPr>
                <w:rFonts w:cs="TimesNewRomanPS-BoldMT" w:ascii="TimesNewRomanPS-BoldMT" w:hAnsi="TimesNewRomanPS-BoldMT"/>
                <w:b/>
                <w:bCs/>
                <w:sz w:val="22"/>
                <w:szCs w:val="24"/>
              </w:rPr>
            </w:r>
          </w:p>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eastAsia="" w:cs="Times New Roman" w:ascii="Times New Roman" w:hAnsi="Times New Roman"/>
                <w:b/>
                <w:bCs/>
                <w:kern w:val="0"/>
                <w:sz w:val="24"/>
                <w:szCs w:val="24"/>
                <w:lang w:val="ru-RU" w:eastAsia="ru-RU" w:bidi="ar-SA"/>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6314"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 назначении на должность руководителя унитарного предприятия, гражданин обязан представить в кадровую службу государственного органа документы, подтверждающие выход из состава учредителей (участников) юридического лица (например, выписку из единого государственного реестра юридических лиц и др.).</w:t>
            </w:r>
          </w:p>
          <w:p>
            <w:pPr>
              <w:pStyle w:val="Normal"/>
              <w:widowControl w:val="false"/>
              <w:suppressAutoHyphens w:val="true"/>
              <w:spacing w:lineRule="auto" w:line="240" w:before="0" w:after="0"/>
              <w:jc w:val="left"/>
              <w:rPr>
                <w:rFonts w:ascii="TimesNewRomanPS-BoldItalicMT" w:hAnsi="TimesNewRomanPS-BoldItalicMT" w:cs="TimesNewRomanPS-BoldItalicMT"/>
                <w:b/>
                <w:b/>
                <w:bCs/>
                <w:i/>
                <w:i/>
                <w:iCs/>
                <w:sz w:val="24"/>
                <w:szCs w:val="24"/>
              </w:rPr>
            </w:pPr>
            <w:r>
              <w:rPr>
                <w:rFonts w:eastAsia="" w:cs="TimesNewRomanPS-BoldItalicMT" w:ascii="TimesNewRomanPS-BoldItalicMT" w:hAnsi="TimesNewRomanPS-BoldItalicMT"/>
                <w:b/>
                <w:bCs/>
                <w:i/>
                <w:iCs/>
                <w:kern w:val="0"/>
                <w:sz w:val="24"/>
                <w:szCs w:val="24"/>
                <w:lang w:val="ru-RU" w:eastAsia="ru-RU" w:bidi="ar-SA"/>
              </w:rPr>
              <w:t>Справочно.</w:t>
            </w:r>
          </w:p>
          <w:p>
            <w:pPr>
              <w:pStyle w:val="Normal"/>
              <w:widowControl w:val="false"/>
              <w:suppressAutoHyphens w:val="true"/>
              <w:spacing w:lineRule="auto" w:line="240" w:before="0" w:after="0"/>
              <w:jc w:val="both"/>
              <w:rPr>
                <w:rFonts w:ascii="TimesNewRomanPS-ItalicMT" w:hAnsi="TimesNewRomanPS-ItalicMT" w:cs="TimesNewRomanPS-ItalicMT"/>
                <w:i/>
                <w:i/>
                <w:iCs/>
                <w:sz w:val="24"/>
                <w:szCs w:val="24"/>
              </w:rPr>
            </w:pPr>
            <w:r>
              <w:rPr>
                <w:rFonts w:eastAsia="" w:cs="TimesNewRomanPS-ItalicMT" w:ascii="TimesNewRomanPS-ItalicMT" w:hAnsi="TimesNewRomanPS-ItalicMT"/>
                <w:i/>
                <w:iCs/>
                <w:kern w:val="0"/>
                <w:sz w:val="24"/>
                <w:szCs w:val="24"/>
                <w:lang w:val="ru-RU" w:eastAsia="ru-RU" w:bidi="ar-SA"/>
              </w:rPr>
              <w:t>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 (или) смету.</w:t>
            </w:r>
          </w:p>
          <w:p>
            <w:pPr>
              <w:pStyle w:val="Normal"/>
              <w:widowControl w:val="false"/>
              <w:suppressAutoHyphens w:val="true"/>
              <w:spacing w:lineRule="auto" w:line="240" w:before="0" w:after="0"/>
              <w:jc w:val="both"/>
              <w:rPr>
                <w:rFonts w:ascii="TimesNewRomanPS-ItalicMT" w:hAnsi="TimesNewRomanPS-ItalicMT" w:cs="TimesNewRomanPS-ItalicMT"/>
                <w:i/>
                <w:i/>
                <w:iCs/>
                <w:sz w:val="24"/>
                <w:szCs w:val="24"/>
              </w:rPr>
            </w:pPr>
            <w:r>
              <w:rPr>
                <w:rFonts w:eastAsia="" w:cs="TimesNewRomanPS-ItalicMT" w:ascii="TimesNewRomanPS-ItalicMT" w:hAnsi="TimesNewRomanPS-ItalicMT"/>
                <w:i/>
                <w:iCs/>
                <w:kern w:val="0"/>
                <w:sz w:val="24"/>
                <w:szCs w:val="24"/>
                <w:lang w:val="ru-RU" w:eastAsia="ru-RU" w:bidi="ar-SA"/>
              </w:rPr>
              <w:t>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научной и иной творческой деятельности (например, выписку из единого государственного реестра юридических лиц и др.).</w:t>
            </w:r>
          </w:p>
          <w:p>
            <w:pPr>
              <w:pStyle w:val="Normal"/>
              <w:widowControl w:val="false"/>
              <w:suppressAutoHyphens w:val="true"/>
              <w:spacing w:lineRule="auto" w:line="240" w:before="0" w:after="0"/>
              <w:jc w:val="left"/>
              <w:rPr>
                <w:rFonts w:ascii="TimesNewRomanPSMT" w:hAnsi="TimesNewRomanPSMT" w:cs="TimesNewRomanPSMT"/>
                <w:sz w:val="24"/>
                <w:szCs w:val="24"/>
              </w:rPr>
            </w:pPr>
            <w:r>
              <w:rPr>
                <w:rFonts w:cs="TimesNewRomanPSMT" w:ascii="TimesNewRomanPSMT" w:hAnsi="TimesNewRomanPSMT"/>
                <w:sz w:val="22"/>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 назначении на должность гражданин обязан представить в кадровую службу государственного органа документы подтверждающие прекращение предпринимательской деятельности (например, документ о снятии с регистрационного учета в регистрирующем органе).</w:t>
            </w:r>
          </w:p>
          <w:p>
            <w:pPr>
              <w:pStyle w:val="Normal"/>
              <w:widowControl w:val="false"/>
              <w:suppressAutoHyphens w:val="true"/>
              <w:spacing w:lineRule="auto" w:line="240" w:before="0" w:after="0"/>
              <w:jc w:val="left"/>
              <w:rPr>
                <w:rFonts w:ascii="TimesNewRomanPS-BoldItalicMT" w:hAnsi="TimesNewRomanPS-BoldItalicMT" w:cs="TimesNewRomanPS-BoldItalicMT"/>
                <w:b/>
                <w:b/>
                <w:bCs/>
                <w:i/>
                <w:i/>
                <w:iCs/>
                <w:sz w:val="24"/>
                <w:szCs w:val="24"/>
              </w:rPr>
            </w:pPr>
            <w:r>
              <w:rPr>
                <w:rFonts w:eastAsia="" w:cs="TimesNewRomanPS-BoldItalicMT" w:ascii="TimesNewRomanPS-BoldItalicMT" w:hAnsi="TimesNewRomanPS-BoldItalicMT"/>
                <w:b/>
                <w:bCs/>
                <w:i/>
                <w:iCs/>
                <w:kern w:val="0"/>
                <w:sz w:val="24"/>
                <w:szCs w:val="24"/>
                <w:lang w:val="ru-RU" w:eastAsia="ru-RU" w:bidi="ar-SA"/>
              </w:rPr>
              <w:t>Справочно.</w:t>
            </w:r>
          </w:p>
          <w:p>
            <w:pPr>
              <w:pStyle w:val="Normal"/>
              <w:widowControl w:val="false"/>
              <w:suppressAutoHyphens w:val="true"/>
              <w:spacing w:lineRule="auto" w:line="240" w:before="0" w:after="0"/>
              <w:jc w:val="both"/>
              <w:rPr>
                <w:rFonts w:ascii="TimesNewRomanPS-ItalicMT" w:hAnsi="TimesNewRomanPS-ItalicMT" w:cs="TimesNewRomanPS-ItalicMT"/>
                <w:i/>
                <w:i/>
                <w:iCs/>
                <w:sz w:val="24"/>
                <w:szCs w:val="24"/>
              </w:rPr>
            </w:pPr>
            <w:r>
              <w:rPr>
                <w:rFonts w:eastAsia="" w:cs="TimesNewRomanPS-ItalicMT" w:ascii="TimesNewRomanPS-ItalicMT" w:hAnsi="TimesNewRomanPS-ItalicMT"/>
                <w:i/>
                <w:iCs/>
                <w:kern w:val="0"/>
                <w:sz w:val="24"/>
                <w:szCs w:val="24"/>
                <w:lang w:val="ru-RU" w:eastAsia="ru-RU" w:bidi="ar-SA"/>
              </w:rPr>
              <w:t>Абзацем 3 пункта 1 статьи 2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pPr>
              <w:pStyle w:val="Normal"/>
              <w:widowControl w:val="false"/>
              <w:suppressAutoHyphens w:val="true"/>
              <w:spacing w:lineRule="auto" w:line="240" w:before="0" w:after="0"/>
              <w:jc w:val="both"/>
              <w:rPr>
                <w:rFonts w:ascii="Times New Roman" w:hAnsi="Times New Roman" w:cs="Times New Roman"/>
                <w:bCs/>
                <w:iCs/>
                <w:sz w:val="24"/>
                <w:szCs w:val="24"/>
              </w:rPr>
            </w:pPr>
            <w:r>
              <w:rPr>
                <w:rFonts w:eastAsia="" w:cs="Times New Roman" w:ascii="Times New Roman" w:hAnsi="Times New Roman"/>
                <w:kern w:val="0"/>
                <w:sz w:val="24"/>
                <w:szCs w:val="24"/>
                <w:lang w:val="ru-RU" w:eastAsia="ru-RU" w:bidi="ar-SA"/>
              </w:rPr>
              <w:t>По аналогии с  вышеизложенным.</w:t>
            </w:r>
          </w:p>
        </w:tc>
      </w:tr>
    </w:tbl>
    <w:p>
      <w:pPr>
        <w:sectPr>
          <w:type w:val="nextPage"/>
          <w:pgSz w:orient="landscape" w:w="16838" w:h="11906"/>
          <w:pgMar w:left="1134" w:right="1134" w:gutter="0" w:header="0" w:top="1701" w:footer="0" w:bottom="851"/>
          <w:pgNumType w:fmt="decimal"/>
          <w:formProt w:val="false"/>
          <w:textDirection w:val="lrTb"/>
          <w:docGrid w:type="default" w:linePitch="360" w:charSpace="4096"/>
        </w:sectPr>
      </w:pPr>
    </w:p>
    <w:p>
      <w:pPr>
        <w:pStyle w:val="Normal"/>
        <w:spacing w:lineRule="auto" w:line="240"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ind w:firstLine="708"/>
        <w:jc w:val="both"/>
        <w:rPr>
          <w:rFonts w:ascii="Times New Roman" w:hAnsi="Times New Roman" w:cs="Times New Roman"/>
          <w:bCs/>
          <w:iCs/>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NewRomanPS-BoldItalicMT">
    <w:charset w:val="01"/>
    <w:family w:val="roman"/>
    <w:pitch w:val="variable"/>
  </w:font>
  <w:font w:name="TimesNewRomanPS-BoldMT">
    <w:charset w:val="01"/>
    <w:family w:val="roman"/>
    <w:pitch w:val="variable"/>
  </w:font>
  <w:font w:name="TimesNewRomanPS-ItalicMT">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3d5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Droid Sans Fallback"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cs="Noto Sans Devanagari"/>
      <w:i/>
      <w:iCs/>
      <w:sz w:val="24"/>
      <w:szCs w:val="24"/>
    </w:rPr>
  </w:style>
  <w:style w:type="paragraph" w:styleId="Style18">
    <w:name w:val="Указатель"/>
    <w:basedOn w:val="Normal"/>
    <w:qFormat/>
    <w:pPr>
      <w:suppressLineNumbers/>
    </w:pPr>
    <w:rPr>
      <w:rFonts w:cs="Noto Sans Devanagari"/>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ba44c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5696-BC13-49C4-B512-4F21FFC0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LibreOffice/7.3.7.2$Linux_X86_64 LibreOffice_project/30$Build-2</Application>
  <AppVersion>15.0000</AppVersion>
  <Pages>20</Pages>
  <Words>4611</Words>
  <Characters>34415</Characters>
  <CharactersWithSpaces>38804</CharactersWithSpaces>
  <Paragraphs>286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2022-09-13T13:49:00Z</dcterms:created>
  <dc:creator>Adm</dc:creator>
  <dc:description/>
  <dc:language>ru-RU</dc:language>
  <cp:lastModifiedBy/>
  <dcterms:modified xsi:type="dcterms:W3CDTF">2023-07-13T11:05:24Z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