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00" w:leader="none"/>
        </w:tabs>
        <w:suppressAutoHyphens w:val="true"/>
        <w:spacing w:lineRule="auto" w:line="360" w:before="0" w:after="0"/>
        <w:ind w:right="49" w:hanging="0"/>
        <w:jc w:val="center"/>
        <w:rPr>
          <w:rFonts w:ascii="Times New Roman" w:hAnsi="Times New Roman" w:eastAsia="Times New Roman" w:cs="Calibri"/>
          <w:b/>
          <w:b/>
          <w:color w:val="262626" w:themeColor="text1" w:themeShade="80"/>
          <w:sz w:val="32"/>
          <w:szCs w:val="32"/>
          <w:lang w:eastAsia="ar-SA"/>
        </w:rPr>
      </w:pPr>
      <w:r>
        <w:rPr>
          <w:rFonts w:eastAsia="Times New Roman" w:cs="Calibri" w:ascii="Times New Roman" w:hAnsi="Times New Roman"/>
          <w:b/>
          <w:color w:val="262626" w:themeColor="text1" w:themeShade="80"/>
          <w:sz w:val="32"/>
          <w:szCs w:val="32"/>
          <w:lang w:eastAsia="ar-SA"/>
        </w:rPr>
        <w:t>ПРЕДСТАВИТЕЛЬНОЕ СОБРАНИЕ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Calibri"/>
          <w:b/>
          <w:b/>
          <w:color w:val="262626" w:themeColor="text1" w:themeShade="80"/>
          <w:sz w:val="32"/>
          <w:szCs w:val="32"/>
          <w:lang w:eastAsia="ar-SA"/>
        </w:rPr>
      </w:pPr>
      <w:r>
        <w:rPr>
          <w:rFonts w:eastAsia="Times New Roman" w:cs="Calibri" w:ascii="Times New Roman" w:hAnsi="Times New Roman"/>
          <w:b/>
          <w:color w:val="262626" w:themeColor="text1" w:themeShade="80"/>
          <w:sz w:val="32"/>
          <w:szCs w:val="32"/>
          <w:lang w:eastAsia="ar-SA"/>
        </w:rPr>
        <w:t>МАНТУРОВСКОГО РАЙОНА КУРСКОЙ ОБЛАСТИ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Calibri"/>
          <w:b/>
          <w:b/>
          <w:color w:val="262626" w:themeColor="text1" w:themeShade="80"/>
          <w:sz w:val="32"/>
          <w:szCs w:val="32"/>
          <w:lang w:eastAsia="ar-SA"/>
        </w:rPr>
      </w:pPr>
      <w:r>
        <w:rPr>
          <w:rFonts w:eastAsia="Times New Roman" w:cs="Calibri" w:ascii="Times New Roman" w:hAnsi="Times New Roman"/>
          <w:b/>
          <w:color w:val="262626" w:themeColor="text1" w:themeShade="80"/>
          <w:sz w:val="32"/>
          <w:szCs w:val="32"/>
          <w:lang w:eastAsia="ar-SA"/>
        </w:rPr>
        <w:t>ЧЕТВЕРТОГО СОЗЫВА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60" w:leader="none"/>
        </w:tabs>
        <w:suppressAutoHyphens w:val="true"/>
        <w:spacing w:lineRule="auto" w:line="240" w:before="240" w:after="6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262626" w:themeColor="text1" w:themeShade="80"/>
          <w:sz w:val="32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262626" w:themeColor="text1" w:themeShade="80"/>
          <w:sz w:val="32"/>
          <w:szCs w:val="28"/>
          <w:lang w:eastAsia="ar-SA"/>
        </w:rPr>
        <w:t>РЕШЕНИЕ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Calibri"/>
          <w:b/>
          <w:b/>
          <w:bCs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b/>
          <w:bCs/>
          <w:color w:val="262626" w:themeColor="text1" w:themeShade="80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u w:val="single"/>
          <w:lang w:eastAsia="ar-SA"/>
        </w:rPr>
        <w:t>о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u w:val="single"/>
          <w:lang w:eastAsia="ar-SA"/>
        </w:rPr>
        <w:t xml:space="preserve">т 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u w:val="single"/>
          <w:lang w:eastAsia="ar-SA"/>
        </w:rPr>
        <w:t>25 февраля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u w:val="single"/>
          <w:lang w:eastAsia="ar-SA"/>
        </w:rPr>
        <w:t xml:space="preserve"> 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u w:val="single"/>
          <w:lang w:eastAsia="ar-SA"/>
        </w:rPr>
        <w:t>2022 года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u w:val="single"/>
          <w:lang w:eastAsia="ar-SA"/>
        </w:rPr>
        <w:t xml:space="preserve">   №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u w:val="single"/>
          <w:lang w:eastAsia="ar-SA"/>
        </w:rPr>
        <w:t>162</w:t>
      </w:r>
      <w:r>
        <w:rPr>
          <w:rFonts w:eastAsia="Times New Roman" w:cs="Calibri" w:ascii="Times New Roman" w:hAnsi="Times New Roman"/>
          <w:color w:val="262626" w:themeColor="text1" w:themeShade="80"/>
          <w:sz w:val="30"/>
          <w:szCs w:val="20"/>
          <w:u w:val="single"/>
          <w:lang w:eastAsia="ar-SA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Calibri" w:ascii="Times New Roman" w:hAnsi="Times New Roman"/>
          <w:color w:val="262626" w:themeColor="text1" w:themeShade="80"/>
          <w:sz w:val="18"/>
          <w:szCs w:val="20"/>
          <w:lang w:eastAsia="ar-SA"/>
        </w:rPr>
        <w:t>307000, Курская область, с. Мантурово, ул. Ленина 13</w:t>
      </w:r>
    </w:p>
    <w:p>
      <w:pPr>
        <w:pStyle w:val="Normal"/>
        <w:tabs>
          <w:tab w:val="clear" w:pos="708"/>
          <w:tab w:val="left" w:pos="2460" w:leader="none"/>
          <w:tab w:val="left" w:pos="5700" w:leader="none"/>
        </w:tabs>
        <w:suppressAutoHyphens w:val="true"/>
        <w:spacing w:lineRule="auto" w:line="240" w:before="0" w:after="0"/>
        <w:ind w:right="49" w:hanging="0"/>
        <w:jc w:val="center"/>
        <w:rPr>
          <w:rFonts w:ascii="Times New Roman" w:hAnsi="Times New Roman" w:eastAsia="Times New Roman" w:cs="Calibri"/>
          <w:color w:val="262626" w:themeColor="text1" w:themeShade="80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Calibri"/>
          <w:bCs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bCs/>
          <w:color w:val="262626" w:themeColor="text1" w:themeShade="80"/>
          <w:sz w:val="28"/>
          <w:szCs w:val="28"/>
          <w:lang w:eastAsia="ar-SA"/>
        </w:rPr>
        <w:t>Об утверждении отчета о деятельности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Calibri"/>
          <w:bCs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bCs/>
          <w:color w:val="262626" w:themeColor="text1" w:themeShade="80"/>
          <w:sz w:val="28"/>
          <w:szCs w:val="28"/>
          <w:lang w:eastAsia="ar-SA"/>
        </w:rPr>
        <w:t xml:space="preserve">Ревизионной комиссии Мантуровского района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Calibri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bCs/>
          <w:color w:val="262626" w:themeColor="text1" w:themeShade="80"/>
          <w:sz w:val="28"/>
          <w:szCs w:val="28"/>
          <w:lang w:eastAsia="ar-SA"/>
        </w:rPr>
        <w:t xml:space="preserve">Курской области  за 2021 г.        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 xml:space="preserve">                                             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firstLine="855"/>
        <w:jc w:val="both"/>
        <w:rPr>
          <w:rFonts w:ascii="Times New Roman" w:hAnsi="Times New Roman" w:eastAsia="Times New Roman" w:cs="Calibri"/>
          <w:color w:val="FF0000"/>
          <w:sz w:val="30"/>
          <w:szCs w:val="20"/>
          <w:lang w:eastAsia="ar-SA"/>
        </w:rPr>
      </w:pPr>
      <w:r>
        <w:rPr>
          <w:rFonts w:eastAsia="Times New Roman" w:cs="Calibri" w:ascii="Times New Roman" w:hAnsi="Times New Roman"/>
          <w:color w:val="FF0000"/>
          <w:sz w:val="30"/>
          <w:szCs w:val="20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ab/>
        <w:tab/>
        <w:tab/>
        <w:t xml:space="preserve"> </w:t>
        <w:tab/>
        <w:t xml:space="preserve">Заслушав и обсудив отчет, представленный 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>П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>редседателем</w:t>
      </w:r>
      <w:r>
        <w:rPr>
          <w:rFonts w:eastAsia="Times New Roman" w:cs="Calibri" w:ascii="Times New Roman" w:hAnsi="Times New Roman"/>
          <w:bCs/>
          <w:color w:val="262626" w:themeColor="text1" w:themeShade="80"/>
          <w:sz w:val="28"/>
          <w:szCs w:val="28"/>
          <w:lang w:eastAsia="ar-SA"/>
        </w:rPr>
        <w:t xml:space="preserve"> Ревизионной комиссии Мантуровского района Курской области о результатах деятельности Ревизионной комиссии Мантуровского района Курской области за 2021 год, р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>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 и Положением о Ревизионной комиссии Мантуровского района Курской области, утвержденного решением Представительного Собрания Мантуровского района Курской области № 159 от 20.07.2012 года, Представительное Собрание Мантуровского района Курской области РЕШИЛО: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Calibri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ab/>
        <w:t xml:space="preserve"> </w:t>
        <w:tab/>
        <w:t xml:space="preserve">1.Утвердить прилагаемый </w:t>
      </w:r>
      <w:r>
        <w:rPr>
          <w:rFonts w:eastAsia="Times New Roman" w:cs="Calibri" w:ascii="Times New Roman" w:hAnsi="Times New Roman"/>
          <w:bCs/>
          <w:color w:val="262626" w:themeColor="text1" w:themeShade="80"/>
          <w:sz w:val="28"/>
          <w:szCs w:val="28"/>
          <w:lang w:eastAsia="ar-SA"/>
        </w:rPr>
        <w:t xml:space="preserve">отчет о деятельности Ревизионной комиссии Мантуровского района Курской области  за 2021 г.        </w:t>
      </w: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 xml:space="preserve">                                                         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firstLine="855"/>
        <w:jc w:val="both"/>
        <w:rPr>
          <w:rFonts w:ascii="Times New Roman" w:hAnsi="Times New Roman" w:eastAsia="Times New Roman" w:cs="Calibri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firstLine="855"/>
        <w:jc w:val="both"/>
        <w:rPr>
          <w:rFonts w:ascii="Times New Roman" w:hAnsi="Times New Roman" w:eastAsia="Times New Roman" w:cs="Calibri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>2.Настоящее решение вступает в силу со дня его подписания и подлежит обнародованию.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color w:val="FF000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FF0000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>Председатель Представительного Собрания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  <w:t>Мантуровского района Курской области                                        Н.В. Токарева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firstLine="855"/>
        <w:jc w:val="both"/>
        <w:rPr>
          <w:rFonts w:ascii="Times New Roman" w:hAnsi="Times New Roman" w:eastAsia="Times New Roman" w:cs="Calibri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firstLine="855"/>
        <w:jc w:val="both"/>
        <w:rPr>
          <w:rFonts w:ascii="Times New Roman" w:hAnsi="Times New Roman" w:eastAsia="Times New Roman" w:cs="Calibri"/>
          <w:color w:val="262626" w:themeColor="text1" w:themeShade="80"/>
          <w:sz w:val="30"/>
          <w:szCs w:val="20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30"/>
          <w:szCs w:val="20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color w:val="262626" w:themeColor="text1" w:themeShade="80"/>
          <w:sz w:val="30"/>
          <w:szCs w:val="20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30"/>
          <w:szCs w:val="20"/>
          <w:lang w:eastAsia="ar-SA"/>
        </w:rPr>
        <w:t xml:space="preserve">Глава Мантуровского района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color w:val="262626" w:themeColor="text1" w:themeShade="80"/>
          <w:sz w:val="30"/>
          <w:szCs w:val="20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30"/>
          <w:szCs w:val="20"/>
          <w:lang w:eastAsia="ar-SA"/>
        </w:rPr>
        <w:t>Курской области                                                                        С.Н. Бочаров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color w:val="262626" w:themeColor="text1" w:themeShade="80"/>
          <w:sz w:val="30"/>
          <w:szCs w:val="20"/>
          <w:lang w:eastAsia="ar-SA"/>
        </w:rPr>
      </w:pPr>
      <w:r>
        <w:rPr>
          <w:rFonts w:eastAsia="Times New Roman" w:cs="Calibri" w:ascii="Times New Roman" w:hAnsi="Times New Roman"/>
          <w:color w:val="262626" w:themeColor="text1" w:themeShade="80"/>
          <w:sz w:val="30"/>
          <w:szCs w:val="20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color w:val="FF0000"/>
          <w:sz w:val="30"/>
          <w:szCs w:val="20"/>
          <w:lang w:eastAsia="ar-SA"/>
        </w:rPr>
      </w:pPr>
      <w:r>
        <w:rPr>
          <w:rFonts w:eastAsia="Times New Roman" w:cs="Calibri" w:ascii="Times New Roman" w:hAnsi="Times New Roman"/>
          <w:color w:val="FF0000"/>
          <w:sz w:val="30"/>
          <w:szCs w:val="20"/>
          <w:lang w:eastAsia="ar-SA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suppressAutoHyphens w:val="true"/>
        <w:spacing w:lineRule="auto" w:line="240" w:before="0" w:after="0"/>
        <w:ind w:left="1080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4"/>
          <w:szCs w:val="24"/>
          <w:lang w:eastAsia="ar-SA"/>
        </w:rPr>
        <w:t>Утверждено</w:t>
      </w:r>
    </w:p>
    <w:p>
      <w:pPr>
        <w:pStyle w:val="Normal"/>
        <w:suppressAutoHyphens w:val="true"/>
        <w:spacing w:lineRule="auto" w:line="240" w:before="0" w:after="0"/>
        <w:ind w:left="1080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4"/>
          <w:szCs w:val="24"/>
          <w:lang w:eastAsia="ar-SA"/>
        </w:rPr>
        <w:t>решением Представительного Собрания</w:t>
      </w:r>
    </w:p>
    <w:p>
      <w:pPr>
        <w:pStyle w:val="Normal"/>
        <w:suppressAutoHyphens w:val="true"/>
        <w:spacing w:lineRule="auto" w:line="240" w:before="0" w:after="0"/>
        <w:ind w:left="1080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4"/>
          <w:szCs w:val="24"/>
          <w:lang w:eastAsia="ar-SA"/>
        </w:rPr>
        <w:t>Мантуровского района Курской области</w:t>
      </w:r>
    </w:p>
    <w:p>
      <w:pPr>
        <w:pStyle w:val="Normal"/>
        <w:suppressAutoHyphens w:val="true"/>
        <w:spacing w:lineRule="auto" w:line="240" w:before="0" w:after="0"/>
        <w:ind w:left="1080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4"/>
          <w:szCs w:val="24"/>
          <w:lang w:eastAsia="ar-SA"/>
        </w:rPr>
        <w:t xml:space="preserve">от </w:t>
      </w:r>
      <w:r>
        <w:rPr>
          <w:rFonts w:eastAsia="Times New Roman" w:cs="Times New Roman" w:ascii="Times New Roman" w:hAnsi="Times New Roman"/>
          <w:color w:val="262626" w:themeColor="text1" w:themeShade="80"/>
          <w:sz w:val="24"/>
          <w:szCs w:val="24"/>
          <w:lang w:eastAsia="ar-SA"/>
        </w:rPr>
        <w:t xml:space="preserve">25 февраля </w:t>
      </w:r>
      <w:r>
        <w:rPr>
          <w:rFonts w:eastAsia="Times New Roman" w:cs="Times New Roman" w:ascii="Times New Roman" w:hAnsi="Times New Roman"/>
          <w:color w:val="262626" w:themeColor="text1" w:themeShade="80"/>
          <w:sz w:val="24"/>
          <w:szCs w:val="24"/>
          <w:lang w:eastAsia="ar-SA"/>
        </w:rPr>
        <w:t>2022 года №</w:t>
      </w:r>
      <w:r>
        <w:rPr>
          <w:rFonts w:eastAsia="Times New Roman" w:cs="Times New Roman" w:ascii="Times New Roman" w:hAnsi="Times New Roman"/>
          <w:color w:val="262626" w:themeColor="text1" w:themeShade="80"/>
          <w:sz w:val="24"/>
          <w:szCs w:val="24"/>
          <w:lang w:eastAsia="ar-SA"/>
        </w:rPr>
        <w:t>162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262626" w:themeColor="text1" w:themeShade="8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4"/>
          <w:szCs w:val="24"/>
          <w:lang w:eastAsia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b/>
          <w:color w:val="262626" w:themeColor="text1" w:themeShade="80"/>
          <w:sz w:val="28"/>
          <w:szCs w:val="28"/>
        </w:rPr>
        <w:t xml:space="preserve">ОТЧЕТ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b/>
          <w:color w:val="262626" w:themeColor="text1" w:themeShade="80"/>
          <w:sz w:val="28"/>
          <w:szCs w:val="28"/>
        </w:rPr>
        <w:t>О ДЕЯТЕЛЬНОСТИ РЕВИЗИОННОЙ КОМИССИИ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b/>
          <w:color w:val="262626" w:themeColor="text1" w:themeShade="80"/>
          <w:sz w:val="28"/>
          <w:szCs w:val="28"/>
        </w:rPr>
        <w:t>МАНТУРОВСКОГО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b/>
          <w:color w:val="262626" w:themeColor="text1" w:themeShade="80"/>
          <w:sz w:val="28"/>
          <w:szCs w:val="28"/>
        </w:rPr>
        <w:t>КУРСКОЙ ОБЛАСТИ ЗА 2021 ГОД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>Настоящий отчет о деятельности Ревизионной комиссии Мантуровского района Курской области» за 2021 год, результатах контрольных и экспертно-аналитических мероприятиях подготовлен в соответствии с требованиями статьи 17 Положения о Ревизионной комиссии Мантуровского района Курской области, утвержденного решением Представительного Собрания Мантуровского района Курской области от 20.07.2012г. № 159,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иными нормативно-правовыми и законодательными актами Мантуровского района, Курской области,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94" w:leader="none"/>
        </w:tabs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color w:val="262626" w:themeColor="text1" w:themeShade="80"/>
          <w:sz w:val="28"/>
          <w:szCs w:val="28"/>
          <w:lang w:eastAsia="ar-SA"/>
        </w:rPr>
        <w:t>Общие сведения</w:t>
      </w:r>
    </w:p>
    <w:p>
      <w:pPr>
        <w:pStyle w:val="Normal"/>
        <w:tabs>
          <w:tab w:val="clear" w:pos="708"/>
          <w:tab w:val="left" w:pos="409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62626" w:themeColor="text1" w:themeShade="8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-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ab/>
        <w:t xml:space="preserve">Ревизионная комиссия Мантуровского района Курской области (далее-Ревизионная комиссия), в соответствии со статьей 34.1. Устава муниципального района «Мантуровский район» Курской области создана 20.07.2012 г. в целях осуществления контроля за исполнением бюджета Мантуровского района, соблюдением установленного порядка подготовки и рассмотрения проекта бюджета Мантуровского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Мантуровского района.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ab/>
        <w:t>Правовое регулирование организации и деятельности Ревизионной комиссии, основывается на Конституции Российской Федерации, осуществляется Федеральным законом  от 06.10.2003г. №131-ФЗ «Об общих принципах организации местного самоуправления в Российской Федерации»,  Бюджетным кодексом Российской Федерации, Федеральным законом  от 07.02.2011 г. №6-ФЗ «Об общих принципах организации и 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район», Положением о Ревизионной комиссии Мантуровского района Курской области и иными нормативными правовыми актами.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94" w:leader="none"/>
        </w:tabs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color w:val="262626" w:themeColor="text1" w:themeShade="80"/>
          <w:sz w:val="28"/>
          <w:szCs w:val="28"/>
          <w:lang w:eastAsia="ar-SA"/>
        </w:rPr>
        <w:t>Результаты контрольно-ревизионных мероприятий</w:t>
      </w:r>
    </w:p>
    <w:p>
      <w:pPr>
        <w:pStyle w:val="Normal"/>
        <w:tabs>
          <w:tab w:val="clear" w:pos="708"/>
          <w:tab w:val="left" w:pos="409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 xml:space="preserve">Ревизионная комиссия Мантуровского района Курской области в соответствии с Положением о Ревизионной комиссии в процессе реализации возложенных на нее задач осуществляет контрольно-ревизионную деятельность 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в соответствии с утвержденным Планом работы на 2021 год.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 xml:space="preserve">                                      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ab/>
        <w:t>Государственные бюджетные учреждения Мантуровского района переданы в муниципальную собственность постановлением Губернатора Курской области от 23.12.2005 г. №872 «О передаче имущества предприятий и учреждений из государственной собственности Курской области в муниципальную собственность» с учетом изменений от 29.12.2005 г. № 880 и постановлением Администрации Мантуровского района Курской области от 25.07.2006 г. № 117 «О принятии в муниципальную собственность учреждений и имущества».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FF0000"/>
          <w:sz w:val="28"/>
          <w:szCs w:val="28"/>
          <w:lang w:eastAsia="ar-SA"/>
        </w:rPr>
        <w:tab/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>В 2021 году проведено три контрольных мероприятия: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>- в муниципальном дошкольном образовательном учреждении «Сеймский детский сад» Мантуровского района Курской области»;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>-  в муниципальном дошкольном образовательном учреждении «Мантуровский детский сад» Мантуровского района Курской области»;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>- в муниципальном дошкольном образовательном учреждении «Детский сад «Радуга» Мантуровского района Курской области»,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>по программе использования средств бюджета Мантуровского района и муниципального имущества.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В процессе контроля проверками охвачено 3 объекта, по результатам проверок составлено 3 акта.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>Объем бюджетных средств, охваченных контрольными мероприятиями в 2021 году составил 70105,7 тыс. руб.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Выявлено нарушений на общую сумму 37,6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Выявленные нарушения связаны с несоблюдением требований законодательства, нормативных актов федерального, областного и муниципального уровня в финансово-бюджетной сфере.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В результате проведения проверок установлены факты нарушения Федерального Закона № 402-ФЗ от 06.12.2011 года «О бухгалтерском учете»,  Приказа Минфина России № 157н от 01.12.2010г.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наук, государственных (муниципальных) учреждений и инструкции по его применению», Приказа Минфина РФ от 06.12.2010г. №162н «Об утверждении плана счетов бюджетного учета и инструкции по его применению»: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журналы операция в 2019 году велись не в установленной инструкцией форме (МДОУ «Мантуровский детский сад»);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журнал операций по начислению и уплаты родительской платы не ведется (МДОУ «Мантуровский детский сад»);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Главная книга не ведется (МДОУ «Мантуровский детский сад», МДОУ «Сеймский детский сад»);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основные средства на сумму 37,6 руб. отнесены в группу машины и оборудование, тогда как следует относить в группу производственный и хозяйственный инвентарь (МДОУ «Детский сад «Радуга»»).</w:t>
      </w:r>
    </w:p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color w:val="262626" w:themeColor="text1" w:themeShade="80"/>
        </w:rPr>
      </w:pPr>
      <w:r>
        <w:rPr>
          <w:rFonts w:ascii="Times New Roman" w:hAnsi="Times New Roman"/>
          <w:b w:val="false"/>
          <w:color w:val="262626" w:themeColor="text1" w:themeShade="80"/>
          <w:szCs w:val="28"/>
        </w:rPr>
        <w:t>По результатам проверок, заведующим МДОУ «Мантуровский детский сад», МДОУ «Сеймский детский сад», МДОУ «Детский сад «Радуга»», направлены 3 представления с целью устранения выявленных нарушений и недопущения их в дальнейшем. В соответствии с утвержденными сроками, ими предоставлена информация по устранению выявленных нарушений и снято с контроля 3 представления.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Учитывая, что выявленные нарушения по результатам контрольных мероприятий не подлежат устранению в проверяемом периоде, учреждениями приняты меры по устранению и недопущению аналогичных нарушений в дальнейшем.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Анализ выявленных нарушений и недостатков  в 2021 году показывает о недостаточном уровне профессиональной подготовки специалистов, ответственных за ведение бухгалтерского учета.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Следует также сказать, что результативность работы в части принятия мер по устранению выявленных нарушений напрямую зависит от действий должностных лиц проверяемых учреждений, в адрес которых направлялись представления о результатах проведенных контрольных мероприятий, а также от оказания методической помощи структурными подразделениями Администрации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626" w:themeColor="text1" w:themeShade="80"/>
          <w:sz w:val="28"/>
          <w:szCs w:val="28"/>
          <w:lang w:eastAsia="ru-RU"/>
        </w:rPr>
        <w:t>Результаты экспертно-аналитических мероприятий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В целях реализации задач, изложенных в Положении о Ревизионной комиссии, Ревизионная комиссия осуществляла экспертно-аналитическую деятельность, которая в 2021 году являлась одной из основных для Ревизионной комиссии Мантуровского района и осуществлялась в соответствии с утвержденным планом работы.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За 2021 год было подготовлено 21 экспертно-аналитических мероприятия, которые  направлены на обеспечение единой системы контроля за исполнением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бюджета муниципального района,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реализуемого путём проведения: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- предварительного контроля, путем осуществления анализа основных характеристик проекта решения Представительного Собрания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Мантуровского района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Курской области «О  бюджете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муниципального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района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«Мантуровский район Курской области» на 2022 год и плановый период 2023 и 2024 годы», соблюдения требований действующего законодательства 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муниципального образования;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- последующего контроля за исполнением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бюджета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Мантуровского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района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за 2020 год, путем подготовки заключения на годовой отчет об исполнении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бюджета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района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за 2020 год.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Целью подготовки заключения является определение полноты поступления доходов и иных платежей в бюджет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района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, фактического расходования средств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бюджета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по сравнению с показателями, утвержденными решением Представительного Собрания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Мантуровского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района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по объему и структуре, а также целевого назначения и эффективности финансирования и использования средств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бюджета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района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в 2020 году.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В результате проверок проведен анализ полноты и своевременности поступления доходов и законности расходов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бюджета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, проанализировано фактическое исполнение доходных и расходных статей </w:t>
      </w:r>
      <w:r>
        <w:rPr>
          <w:rFonts w:eastAsia="Times New Roman" w:cs="Times New Roman" w:ascii="Times New Roman" w:hAnsi="Times New Roman"/>
          <w:bCs/>
          <w:color w:val="262626" w:themeColor="text1" w:themeShade="80"/>
          <w:sz w:val="28"/>
          <w:szCs w:val="28"/>
          <w:lang w:eastAsia="ru-RU"/>
        </w:rPr>
        <w:t>бюджета района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.     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Кроме того, Ревизионной комиссией Мантуровского района Курской области проведено 3 экспертно-аналитических мероприятий, по результатам которых подготовлены отчеты о ходе исполнения бюджета муниципальный район «Мантуровский район» Курской области за I квартал 2021 года, за 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 –е полугодие 2021 года, за 9 месяцев 2021 года. Краткая информация о ходе исполнения бюджета муниципального района «Мантуровский район» Курской области за 1 квартал 2021 года, за I –е полугодие 2021 года, за 9 месяцев 2021 года направлялась в Представительное Собрание Мантуровского района  и Главе Мантуровского района.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В соответствии с полномочиями Ревизионной комиссии Мантуровского района в отчетном периоде подготовлено 2 заключения по результатам экспертно-аналитического мероприятия «Аудит в сфере закупок товаров, работ, услуг для обеспечения муниципальных нужд» за 2020 год: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МДОУ «Детский сад «Радуга»»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МДОУ «Мантуровский</w:t>
      </w:r>
      <w:r>
        <w:rPr>
          <w:color w:val="262626" w:themeColor="text1" w:themeShade="80"/>
        </w:rPr>
        <w:t xml:space="preserve"> 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детский сад».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По результатам проведенного мероприятия установлены нарушения Федерального закона от 05 апреля 2013 года № 44-ФЗ: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Управлением образования Администрации Мантуровского района, являющимся главным распорядителем бюджетных средств, не разработан порядок проведения ведомственного контроля в сфере закупок, следовательно, мероприятия по ведомственному контролю в сфере закупок в отношении подведомственных заказчиков не осуществляются;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заказчиком не составлялись акты приемки товаров (работ, услуг) на общую сумму 4860,4 тыс. руб., в том числе: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МДОУ «Детский сад «Радуга»» на сумму 1845,7 тыс. руб.,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МДОУ «Мантуровский детский сад» на сумму 3014,7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На основании решения Представительного Собрания Мантуровского района Курской области от 27.11.2019 года № 18 «О принятии полномочий по осуществлению внешнего  муниципального  финансового контроля» с муниципальными образованиями сельских поселений Мантуровского района Курской области заключены Соглашения о передаче полномочий по осуществлению внешнего муниципального финансового контроля на 2020, 2021, 2022 годы.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В соответствии с заключенными Соглашениями о передаче полномочий по осуществлению внешнего муниципального финансового контроля Ревизионной комиссией Мантуровского района Курской области проведено 14 экспертно-аналитических мероприятий: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«Куськинский сельсовет» Мантуровского района за 2020 год,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«Мантуровский сельсовет» Мантуровского района за 2020год,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«Останинский сельсовет» Мантуровского района за 2020 год,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«Репецкий сельсовет» Мантуровского района за 2020 год,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«2-й Засеймский сельсовет» Мантуровского района за 2020 год,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«Сеймский сельсовет» Мантуровского района за 2020 год,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«Ястребовский сельсовет» Мантуровского района за 2020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</w:t>
      </w:r>
      <w:r>
        <w:rPr>
          <w:color w:val="262626" w:themeColor="text1" w:themeShade="80"/>
        </w:rPr>
        <w:t xml:space="preserve"> 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«Куськинский сельсовет» Мантуровского района Курской области «О бюджете муниципального образования «Куськинский сельсовет» Мантуровского района Курской области на 2022 год  и плановый период 2023 и 2024 годов»,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«2-й Засеймский сельсовет» Мантуровского района Курской области «О бюджете муниципального образования «2-й Засеймский сельсовет» Мантуровского района Курской области на 2022 год  и плановый период 2023 и 2024 годов»,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«Мантуровский сельсовет» Мантуровского района Курской области «О бюджете муниципального образования «Мантуровский сельсовет» Мантуровского района Курской области на 2022 год  и плановый период 2023 и 2024 годов»,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«Останинский сельсовет» Мантуровского района Курской области «О бюджете муниципального образования «Останинский сельсовет» Мантуровского района Курской области на 2022 год  и плановый период 2023 и 2024 годов»,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«Репецкий сельсовет» Мантуровского района Курской области «О бюджете муниципального образования «Репецкий сельсовет» Мантуровского района Курской области на 2022 год  и плановый период 2023 и 2024 годов»,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«Сеймский сельсовет» Мантуровского района Курской области «О бюджете муниципального образования «Сеймский сельсовет» Мантуровского района Курской области на 2022 год  и плановый период 2023 и 2024 годов»,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«Ястребовский сельсовет» Мантуровского района Курской области «О бюджете муниципального образования «Ястребовский сельсовет» Мантуровского района Курской области на 2022 год  и плановый период 2023 и 2024 годов».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Ревизионной комиссией Мантуровского района Курской области предложено муниципальным образованиям Мантуровского района Курской области устранить установленные замечания при утверждении бюджетов поселений на 2022 год и плановый период 2023-2024 годы.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262626" w:themeColor="text1" w:themeShade="8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color w:val="262626" w:themeColor="text1" w:themeShade="80"/>
          <w:sz w:val="28"/>
          <w:szCs w:val="28"/>
          <w:lang w:eastAsia="ar-SA"/>
        </w:rPr>
        <w:t>Организационно-информационные мероприятия</w:t>
      </w:r>
    </w:p>
    <w:p>
      <w:pPr>
        <w:pStyle w:val="ListParagraph"/>
        <w:tabs>
          <w:tab w:val="clear" w:pos="708"/>
          <w:tab w:val="left" w:pos="567" w:leader="none"/>
        </w:tabs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План работы Ревизионной комиссии отчетного года, утвержденный председателем Ревизионной комиссии на 2021 год, выполнен в полном объеме.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Важным аспектом в работе Ревизионной комиссии района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О результатах проверок регулярно информировались Глава Мантуровского района и главный распорядитель средств бюджета района. В их адрес направлялись письма по результатам контрольных мероприятий.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Следует отметить, что в первую очередь, непосредственно в ходе контрольных мероприятий принимались меры для устранения вскрытых нарушений с оказанием реальной помощи в их устранении.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 xml:space="preserve">Всем проверенным учреждениям оказана методическая и консультативная помощь для принятия конкретных мер по устранению выявленных недостатков. </w:t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ab/>
        <w:t>Ревизионная комиссия Мантуровского района постоянно осуществляет взаимодействие с Курской областной Ассоциацией контрольно-счетных органов,  в состав которой вошла 02.08.2012 г. на основании соглашения о вхождении в состав объединения - Курской областной Ассоциации контрольно-счетных органов.</w:t>
      </w:r>
    </w:p>
    <w:p>
      <w:pPr>
        <w:pStyle w:val="ListParagraph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ab/>
        <w:t xml:space="preserve">В целях реализации принципа гласности в соответствии с требованиями Федерального Закона Российской Федерации </w:t>
      </w: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ar-SA"/>
        </w:rPr>
        <w:t>07.02.2011 г. №6-ФЗ «Об общих принципах организации и  деятельности контрольно-счетных органов субъектов Российской Федерации и муниципальных образований»</w:t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, статьи 17 Положения о Ревизионной комиссии Мантуровского района Курской области отчет о деятельности Ревизионной комиссии  муниципального района «Мантуровский район» Курской области за 2021 год будет размещен на официальном сайте муниципального района «Мантуровский район» Курской области.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В целях повышения результативности и эффективности своей деятельности, в будущем Ревизионная комиссия намерена уделять внимание дальнейшему контролю за эффективностью и результативностью использования бюджетных средств и муниципального имущества. Ревизионная комиссия будет стремиться к тому, чтобы материалы проведенных проверок и экспертиз, являлись одним из источников объективной информации о состоянии финансов Мантуровского района, об уровне бюджетной дисциплины, качестве бюджетного планирования и других аспектах, связанных с бюджетным процессом. При этом всегда следует учитывать, что система бюджетного контроля специфична и её эффективность не всегда может измеряться чисто количественными  и суммовыми показателями.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FF0000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0"/>
          <w:lang w:eastAsia="ar-SA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Председатель Ревизионной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 w:eastAsia="Times New Roman" w:cs="Times New Roman"/>
          <w:color w:val="262626" w:themeColor="text1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Манту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262626" w:themeColor="text1" w:themeShade="80"/>
          <w:sz w:val="28"/>
          <w:szCs w:val="28"/>
          <w:lang w:eastAsia="ru-RU"/>
        </w:rPr>
        <w:t>ровского района                                                           Т.А. Афанасьева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c1203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7447c2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7447c2"/>
    <w:rPr/>
  </w:style>
  <w:style w:type="character" w:styleId="Style17" w:customStyle="1">
    <w:name w:val="Название Знак"/>
    <w:basedOn w:val="DefaultParagraphFont"/>
    <w:link w:val="a9"/>
    <w:qFormat/>
    <w:rsid w:val="0017512f"/>
    <w:rPr>
      <w:rFonts w:ascii="Arial" w:hAnsi="Arial" w:eastAsia="Times New Roman" w:cs="Times New Roman"/>
      <w:b/>
      <w:sz w:val="28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0547b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b1248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7447c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7447c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c24fb"/>
    <w:pPr>
      <w:spacing w:before="0" w:after="200"/>
      <w:ind w:left="720" w:hanging="0"/>
      <w:contextualSpacing/>
    </w:pPr>
    <w:rPr/>
  </w:style>
  <w:style w:type="paragraph" w:styleId="1" w:customStyle="1">
    <w:name w:val="Знак1"/>
    <w:basedOn w:val="Normal"/>
    <w:qFormat/>
    <w:rsid w:val="00ff5910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6">
    <w:name w:val="Title"/>
    <w:basedOn w:val="Normal"/>
    <w:link w:val="aa"/>
    <w:qFormat/>
    <w:rsid w:val="0017512f"/>
    <w:pPr>
      <w:spacing w:lineRule="auto" w:line="240" w:before="0" w:after="0"/>
      <w:jc w:val="center"/>
    </w:pPr>
    <w:rPr>
      <w:rFonts w:ascii="Arial" w:hAnsi="Arial" w:eastAsia="Times New Roman" w:cs="Times New Roman"/>
      <w:b/>
      <w:sz w:val="28"/>
      <w:szCs w:val="20"/>
      <w:lang w:eastAsia="ru-RU"/>
    </w:rPr>
  </w:style>
  <w:style w:type="paragraph" w:styleId="ConsPlusNormal" w:customStyle="1">
    <w:name w:val="ConsPlusNormal"/>
    <w:qFormat/>
    <w:rsid w:val="0065799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qFormat/>
    <w:rsid w:val="000547b0"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9D8C-76E3-4411-A246-B3D1B68E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LibreOffice/6.4.5.2$Windows_X86_64 LibreOffice_project/a726b36747cf2001e06b58ad5db1aa3a9a1872d6</Application>
  <Pages>8</Pages>
  <Words>2064</Words>
  <Characters>15172</Characters>
  <CharactersWithSpaces>17529</CharactersWithSpaces>
  <Paragraphs>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2021-02-20T07:48:00Z</dcterms:created>
  <dc:creator>Пользователь</dc:creator>
  <dc:description/>
  <dc:language>ru-RU</dc:language>
  <cp:lastModifiedBy/>
  <cp:lastPrinted>2022-02-25T15:04:54Z</cp:lastPrinted>
  <dcterms:modified xsi:type="dcterms:W3CDTF">2022-02-25T15:10:09Z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