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Отчет по реализации Плана</w:t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мероприятий («дорожной карты») по содействию развитию конкуренции в Мантуровском районе </w:t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Курской области по итогам 2020 года</w:t>
      </w:r>
      <w:bookmarkStart w:id="0" w:name="_Hlk24712990"/>
      <w:bookmarkEnd w:id="0"/>
    </w:p>
    <w:p>
      <w:pPr>
        <w:pStyle w:val="NoSpacing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Default"/>
        <w:suppressAutoHyphens w:val="true"/>
        <w:jc w:val="center"/>
        <w:rPr/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Мантуровского района</w:t>
      </w:r>
    </w:p>
    <w:p>
      <w:pPr>
        <w:pStyle w:val="Default"/>
        <w:suppressAutoHyphens w:val="true"/>
        <w:jc w:val="center"/>
        <w:rPr/>
      </w:pPr>
      <w:r>
        <w:rPr>
          <w:b/>
          <w:sz w:val="28"/>
          <w:szCs w:val="28"/>
        </w:rPr>
        <w:t>Курской области, и её проблематики по итогам 2020года</w:t>
      </w:r>
    </w:p>
    <w:p>
      <w:pPr>
        <w:pStyle w:val="Default"/>
        <w:suppressAutoHyphens w:val="true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</w:r>
    </w:p>
    <w:p>
      <w:pPr>
        <w:pStyle w:val="Default"/>
        <w:suppressAutoHyphens w:val="true"/>
        <w:jc w:val="center"/>
        <w:rPr/>
      </w:pPr>
      <w:r>
        <w:rPr>
          <w:b/>
          <w:bCs/>
          <w:color w:val="auto"/>
          <w:sz w:val="26"/>
          <w:szCs w:val="26"/>
        </w:rPr>
        <w:t>1. Рынок услуг розничной торговли лекарственными препаратами, медицинскими изделиями и сопутствующими товарами</w:t>
      </w:r>
    </w:p>
    <w:p>
      <w:pPr>
        <w:pStyle w:val="Default"/>
        <w:suppressAutoHyphens w:val="true"/>
        <w:jc w:val="center"/>
        <w:rPr>
          <w:b/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</w:r>
    </w:p>
    <w:tbl>
      <w:tblPr>
        <w:tblStyle w:val="ae"/>
        <w:tblW w:w="16018" w:type="dxa"/>
        <w:jc w:val="left"/>
        <w:tblInd w:w="-4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  <w:gridCol w:w="1984"/>
        <w:gridCol w:w="2127"/>
        <w:gridCol w:w="2550"/>
      </w:tblGrid>
      <w:tr>
        <w:trPr>
          <w:trHeight w:val="515" w:hRule="atLeast"/>
        </w:trPr>
        <w:tc>
          <w:tcPr>
            <w:tcW w:w="9356" w:type="dxa"/>
            <w:vMerge w:val="restart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rFonts w:eastAsia="Times New Roman"/>
                <w:b/>
                <w:bCs/>
              </w:rPr>
              <w:t>Наименование показателя</w:t>
            </w:r>
          </w:p>
        </w:tc>
        <w:tc>
          <w:tcPr>
            <w:tcW w:w="4111" w:type="dxa"/>
            <w:gridSpan w:val="2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rFonts w:eastAsia="Times New Roman"/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2550" w:type="dxa"/>
            <w:vMerge w:val="restart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rFonts w:eastAsia="Times New Roman"/>
                <w:b/>
                <w:bCs/>
              </w:rPr>
              <w:t>Ответственные исполнители</w:t>
            </w:r>
          </w:p>
        </w:tc>
      </w:tr>
      <w:tr>
        <w:trPr>
          <w:trHeight w:val="514" w:hRule="atLeast"/>
        </w:trPr>
        <w:tc>
          <w:tcPr>
            <w:tcW w:w="9356" w:type="dxa"/>
            <w:vMerge w:val="continue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План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b/>
                <w:b/>
                <w:bCs/>
                <w:highlight w:val="yellow"/>
              </w:rPr>
            </w:pPr>
            <w:r>
              <w:rPr>
                <w:rFonts w:eastAsia="Times New Roman"/>
                <w:b/>
                <w:bCs/>
              </w:rPr>
              <w:t>Факт</w:t>
            </w:r>
          </w:p>
        </w:tc>
        <w:tc>
          <w:tcPr>
            <w:tcW w:w="2550" w:type="dxa"/>
            <w:vMerge w:val="continue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</w:tr>
      <w:tr>
        <w:trPr>
          <w:trHeight w:val="677" w:hRule="atLeast"/>
        </w:trPr>
        <w:tc>
          <w:tcPr>
            <w:tcW w:w="9356" w:type="dxa"/>
            <w:tcBorders/>
            <w:shd w:fill="auto" w:val="clear"/>
          </w:tcPr>
          <w:p>
            <w:pPr>
              <w:pStyle w:val="Default"/>
              <w:suppressAutoHyphens w:val="true"/>
              <w:jc w:val="both"/>
              <w:rPr>
                <w:rFonts w:ascii="Times New Roman" w:hAnsi="Times New Roman" w:eastAsia="Times New Roman"/>
                <w:b w:val="false"/>
                <w:b w:val="false"/>
                <w:bCs w:val="false"/>
              </w:rPr>
            </w:pPr>
            <w:r>
              <w:rPr>
                <w:rFonts w:eastAsia="Times New Roman"/>
                <w:b w:val="false"/>
                <w:bCs w:val="false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Cs/>
              </w:rPr>
              <w:t>2020г —4</w:t>
            </w:r>
          </w:p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Cs/>
              </w:rPr>
              <w:t>77,5%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Cs/>
              </w:rPr>
              <w:t>2020г — 6</w:t>
            </w:r>
          </w:p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Cs/>
                <w:highlight w:val="white"/>
              </w:rPr>
              <w:t>83,3%</w:t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</w:rPr>
            </w:pPr>
            <w:r>
              <w:rPr>
                <w:rFonts w:eastAsia="Times New Roman"/>
                <w:b w:val="false"/>
                <w:bCs w:val="false"/>
              </w:rPr>
              <w:t>Отдел экономики и труда Администрации района</w:t>
            </w:r>
          </w:p>
        </w:tc>
      </w:tr>
    </w:tbl>
    <w:p>
      <w:pPr>
        <w:pStyle w:val="Default"/>
        <w:suppressAutoHyphens w:val="true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</w:r>
    </w:p>
    <w:tbl>
      <w:tblPr>
        <w:tblStyle w:val="ae"/>
        <w:tblW w:w="1597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6676"/>
        <w:gridCol w:w="1417"/>
        <w:gridCol w:w="4961"/>
        <w:gridCol w:w="2220"/>
      </w:tblGrid>
      <w:tr>
        <w:trPr>
          <w:tblHeader w:val="true"/>
          <w:trHeight w:val="1490" w:hRule="atLeast"/>
        </w:trPr>
        <w:tc>
          <w:tcPr>
            <w:tcW w:w="704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76" w:type="dxa"/>
            <w:tcBorders/>
            <w:shd w:fill="auto" w:val="clear"/>
            <w:vAlign w:val="center"/>
          </w:tcPr>
          <w:p>
            <w:pPr>
              <w:pStyle w:val="NoSpacing"/>
              <w:suppressAutoHyphens w:val="tru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Spacing"/>
              <w:suppressAutoHyphens w:val="tru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20" w:type="dxa"/>
            <w:tcBorders/>
            <w:shd w:fill="auto" w:val="clear"/>
            <w:vAlign w:val="center"/>
          </w:tcPr>
          <w:p>
            <w:pPr>
              <w:pStyle w:val="NoSpacing"/>
              <w:suppressAutoHyphens w:val="tru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>
        <w:trPr/>
        <w:tc>
          <w:tcPr>
            <w:tcW w:w="704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676" w:type="dxa"/>
            <w:tcBorders/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Развитие конкуренции на рынке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17" w:type="dxa"/>
            <w:vMerge w:val="restart"/>
            <w:tcBorders/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2019-2021 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г.г.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Рынок розничной торговли лекарственными препаратами, медицинскими изделиями и сопутствующими товарами по состоянию на 01.01.2021 года представлен 6 аптечными организациями, в том числе 1-государственная, частных -5. Доля частных составляет 83,3%.</w:t>
            </w:r>
          </w:p>
        </w:tc>
        <w:tc>
          <w:tcPr>
            <w:tcW w:w="2220" w:type="dxa"/>
            <w:vMerge w:val="restart"/>
            <w:tcBorders/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Отдел экономики и труда Администрации района</w:t>
            </w:r>
          </w:p>
        </w:tc>
      </w:tr>
      <w:tr>
        <w:trPr/>
        <w:tc>
          <w:tcPr>
            <w:tcW w:w="704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676" w:type="dxa"/>
            <w:tcBorders/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Merge w:val="continue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20" w:type="dxa"/>
            <w:vMerge w:val="continue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676" w:type="dxa"/>
            <w:tcBorders/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vMerge w:val="continue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20" w:type="dxa"/>
            <w:vMerge w:val="continue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Default"/>
        <w:suppressAutoHyphens w:val="true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</w:r>
    </w:p>
    <w:p>
      <w:pPr>
        <w:pStyle w:val="Default"/>
        <w:suppressAutoHyphens w:val="true"/>
        <w:jc w:val="center"/>
        <w:rPr/>
      </w:pPr>
      <w:r>
        <w:rPr>
          <w:b/>
          <w:sz w:val="26"/>
          <w:szCs w:val="26"/>
        </w:rPr>
        <w:t>2. Рынок ритуальных</w:t>
      </w:r>
      <w:r>
        <w:rPr>
          <w:b/>
          <w:bCs/>
          <w:color w:val="auto"/>
          <w:sz w:val="26"/>
          <w:szCs w:val="26"/>
        </w:rPr>
        <w:t xml:space="preserve"> услуг </w:t>
      </w:r>
    </w:p>
    <w:p>
      <w:pPr>
        <w:pStyle w:val="Default"/>
        <w:suppressAutoHyphens w:val="true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</w:r>
    </w:p>
    <w:tbl>
      <w:tblPr>
        <w:tblStyle w:val="ae"/>
        <w:tblW w:w="16018" w:type="dxa"/>
        <w:jc w:val="left"/>
        <w:tblInd w:w="-4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45"/>
        <w:gridCol w:w="1985"/>
        <w:gridCol w:w="1984"/>
        <w:gridCol w:w="5103"/>
      </w:tblGrid>
      <w:tr>
        <w:trPr>
          <w:trHeight w:val="515" w:hRule="atLeast"/>
        </w:trPr>
        <w:tc>
          <w:tcPr>
            <w:tcW w:w="6945" w:type="dxa"/>
            <w:vMerge w:val="restart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rFonts w:eastAsia="Times New Roman"/>
                <w:b/>
                <w:bCs/>
              </w:rPr>
              <w:t>Наименование показателя</w:t>
            </w:r>
          </w:p>
        </w:tc>
        <w:tc>
          <w:tcPr>
            <w:tcW w:w="3969" w:type="dxa"/>
            <w:gridSpan w:val="2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rFonts w:eastAsia="Times New Roman"/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5103" w:type="dxa"/>
            <w:vMerge w:val="restart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rFonts w:eastAsia="Times New Roman"/>
                <w:b/>
                <w:bCs/>
              </w:rPr>
              <w:t>Ответственные исполнители</w:t>
            </w:r>
          </w:p>
        </w:tc>
      </w:tr>
      <w:tr>
        <w:trPr>
          <w:trHeight w:val="514" w:hRule="atLeast"/>
        </w:trPr>
        <w:tc>
          <w:tcPr>
            <w:tcW w:w="6945" w:type="dxa"/>
            <w:vMerge w:val="continue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План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b/>
                <w:b/>
                <w:bCs/>
                <w:highlight w:val="yellow"/>
              </w:rPr>
            </w:pPr>
            <w:r>
              <w:rPr>
                <w:rFonts w:eastAsia="Times New Roman"/>
                <w:b/>
                <w:bCs/>
              </w:rPr>
              <w:t>Факт</w:t>
            </w:r>
          </w:p>
        </w:tc>
        <w:tc>
          <w:tcPr>
            <w:tcW w:w="5103" w:type="dxa"/>
            <w:vMerge w:val="continue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</w:tr>
      <w:tr>
        <w:trPr>
          <w:trHeight w:val="611" w:hRule="atLeast"/>
        </w:trPr>
        <w:tc>
          <w:tcPr>
            <w:tcW w:w="6945" w:type="dxa"/>
            <w:tcBorders/>
            <w:shd w:fill="auto" w:val="clear"/>
          </w:tcPr>
          <w:p>
            <w:pPr>
              <w:pStyle w:val="Default"/>
              <w:suppressAutoHyphens w:val="true"/>
              <w:jc w:val="both"/>
              <w:rPr>
                <w:rFonts w:ascii="Times New Roman" w:hAnsi="Times New Roman" w:eastAsia="Times New Roman"/>
                <w:b w:val="false"/>
                <w:b w:val="false"/>
                <w:bCs w:val="false"/>
              </w:rPr>
            </w:pPr>
            <w:r>
              <w:rPr>
                <w:rFonts w:eastAsia="Times New Roman"/>
                <w:b w:val="false"/>
                <w:bCs w:val="false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Cs/>
              </w:rPr>
              <w:t>2020г – 4</w:t>
            </w:r>
          </w:p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Cs/>
              </w:rPr>
              <w:t>100%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Cs/>
              </w:rPr>
              <w:t xml:space="preserve">2020г — </w:t>
            </w:r>
            <w:r>
              <w:rPr>
                <w:rFonts w:eastAsia="Times New Roman"/>
                <w:bCs/>
                <w:highlight w:val="white"/>
              </w:rPr>
              <w:t>4</w:t>
            </w:r>
          </w:p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Cs/>
                <w:highlight w:val="white"/>
              </w:rPr>
              <w:t>100%</w:t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Отдел экономики и труда Администрации района</w:t>
            </w:r>
          </w:p>
        </w:tc>
      </w:tr>
    </w:tbl>
    <w:p>
      <w:pPr>
        <w:pStyle w:val="Default"/>
        <w:suppressAutoHyphens w:val="true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</w:r>
    </w:p>
    <w:tbl>
      <w:tblPr>
        <w:tblStyle w:val="ae"/>
        <w:tblW w:w="1597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6676"/>
        <w:gridCol w:w="1417"/>
        <w:gridCol w:w="4961"/>
        <w:gridCol w:w="2220"/>
      </w:tblGrid>
      <w:tr>
        <w:trPr>
          <w:tblHeader w:val="true"/>
          <w:trHeight w:val="1490" w:hRule="atLeast"/>
        </w:trPr>
        <w:tc>
          <w:tcPr>
            <w:tcW w:w="704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76" w:type="dxa"/>
            <w:tcBorders/>
            <w:shd w:fill="auto" w:val="clear"/>
            <w:vAlign w:val="center"/>
          </w:tcPr>
          <w:p>
            <w:pPr>
              <w:pStyle w:val="NoSpacing"/>
              <w:suppressAutoHyphens w:val="tru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Spacing"/>
              <w:suppressAutoHyphens w:val="tru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20" w:type="dxa"/>
            <w:tcBorders/>
            <w:shd w:fill="auto" w:val="clear"/>
            <w:vAlign w:val="center"/>
          </w:tcPr>
          <w:p>
            <w:pPr>
              <w:pStyle w:val="NoSpacing"/>
              <w:suppressAutoHyphens w:val="tru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>
        <w:trPr>
          <w:trHeight w:val="715" w:hRule="atLeast"/>
        </w:trPr>
        <w:tc>
          <w:tcPr>
            <w:tcW w:w="704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676" w:type="dxa"/>
            <w:tcBorders/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Проведение мониторинга состояния рынка ритуальных услуг Мантуровского района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2019-2021 г.г.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Ритуальные услуги по состоянию на 01.01.2021 г оказывают 4 частных организаций. </w:t>
            </w:r>
          </w:p>
        </w:tc>
        <w:tc>
          <w:tcPr>
            <w:tcW w:w="2220" w:type="dxa"/>
            <w:tcBorders/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Отдел экономики и труда Администрации района</w:t>
            </w:r>
          </w:p>
        </w:tc>
      </w:tr>
      <w:tr>
        <w:trPr>
          <w:trHeight w:val="342" w:hRule="atLeast"/>
        </w:trPr>
        <w:tc>
          <w:tcPr>
            <w:tcW w:w="70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2.2.</w:t>
            </w:r>
          </w:p>
        </w:tc>
        <w:tc>
          <w:tcPr>
            <w:tcW w:w="667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Оказание консультационной и методической поддержки хозяйствующим субъектам, открывающим объекты по рынку  ритуальных услуг на территории Мантуровского района</w:t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bookmarkStart w:id="1" w:name="__DdeLink__469_1213411767"/>
            <w:r>
              <w:rPr>
                <w:rFonts w:eastAsia="Times New Roman" w:ascii="Times New Roman" w:hAnsi="Times New Roman"/>
                <w:sz w:val="24"/>
                <w:szCs w:val="24"/>
              </w:rPr>
              <w:t>2019-2021 г.г.</w:t>
            </w:r>
            <w:bookmarkEnd w:id="1"/>
          </w:p>
        </w:tc>
        <w:tc>
          <w:tcPr>
            <w:tcW w:w="4961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За оказанием консультационной  поддержкой по оказанию ритуальных услуг в 2020 году  обращений не поступало</w:t>
            </w:r>
          </w:p>
        </w:tc>
        <w:tc>
          <w:tcPr>
            <w:tcW w:w="222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Отдел экономики и труда Администрации района</w:t>
            </w:r>
          </w:p>
        </w:tc>
      </w:tr>
      <w:tr>
        <w:trPr>
          <w:trHeight w:val="342" w:hRule="atLeast"/>
        </w:trPr>
        <w:tc>
          <w:tcPr>
            <w:tcW w:w="70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 xml:space="preserve">2.3. </w:t>
            </w:r>
          </w:p>
        </w:tc>
        <w:tc>
          <w:tcPr>
            <w:tcW w:w="667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Проведения анализа (оценки) состояния конкурентной среды на рынке ритуальных услуг на основании мониторинга</w:t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2019-2021 г.г.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На основании проведенного мониторинга на 01.01.2021 года на рынке ритуальных услуг оказывают услуги  4 частные организации. По состоянию на 01.01.2021 г. частных организаций, оказывающих ритуальные услуги — 4. Доля частных организаций в сфере ритуальных услуг составляет 100%</w:t>
            </w:r>
          </w:p>
        </w:tc>
        <w:tc>
          <w:tcPr>
            <w:tcW w:w="222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Отдел экономики и труда Администрации района</w:t>
            </w:r>
          </w:p>
        </w:tc>
      </w:tr>
    </w:tbl>
    <w:p>
      <w:pPr>
        <w:pStyle w:val="Default"/>
        <w:suppressAutoHyphens w:val="true"/>
        <w:jc w:val="center"/>
        <w:rPr>
          <w:b/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</w:r>
    </w:p>
    <w:p>
      <w:pPr>
        <w:pStyle w:val="Default"/>
        <w:suppressAutoHyphens w:val="true"/>
        <w:rPr/>
      </w:pPr>
      <w:r>
        <w:rPr>
          <w:b/>
          <w:bCs/>
          <w:color w:val="auto"/>
          <w:sz w:val="26"/>
          <w:szCs w:val="26"/>
        </w:rPr>
        <w:t xml:space="preserve">                                                  </w:t>
      </w:r>
    </w:p>
    <w:p>
      <w:pPr>
        <w:pStyle w:val="Default"/>
        <w:suppressAutoHyphens w:val="true"/>
        <w:rPr>
          <w:b/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</w:r>
    </w:p>
    <w:p>
      <w:pPr>
        <w:pStyle w:val="Default"/>
        <w:suppressAutoHyphens w:val="true"/>
        <w:rPr/>
      </w:pPr>
      <w:r>
        <w:rPr>
          <w:b/>
          <w:bCs/>
          <w:color w:val="auto"/>
          <w:sz w:val="26"/>
          <w:szCs w:val="26"/>
        </w:rPr>
        <w:t xml:space="preserve">                                                            </w:t>
      </w:r>
      <w:r>
        <w:rPr>
          <w:b/>
          <w:bCs/>
          <w:color w:val="auto"/>
          <w:sz w:val="26"/>
          <w:szCs w:val="26"/>
        </w:rPr>
        <w:t xml:space="preserve">3. Рынок оказания услуг по ремонту автотранспортных средств </w:t>
      </w:r>
    </w:p>
    <w:p>
      <w:pPr>
        <w:pStyle w:val="Default"/>
        <w:suppressAutoHyphens w:val="true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</w:r>
    </w:p>
    <w:tbl>
      <w:tblPr>
        <w:tblStyle w:val="ae"/>
        <w:tblW w:w="16018" w:type="dxa"/>
        <w:jc w:val="left"/>
        <w:tblInd w:w="-4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45"/>
        <w:gridCol w:w="1985"/>
        <w:gridCol w:w="1984"/>
        <w:gridCol w:w="5103"/>
      </w:tblGrid>
      <w:tr>
        <w:trPr>
          <w:trHeight w:val="515" w:hRule="atLeast"/>
        </w:trPr>
        <w:tc>
          <w:tcPr>
            <w:tcW w:w="6945" w:type="dxa"/>
            <w:vMerge w:val="restart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показателя</w:t>
            </w:r>
          </w:p>
        </w:tc>
        <w:tc>
          <w:tcPr>
            <w:tcW w:w="3969" w:type="dxa"/>
            <w:gridSpan w:val="2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5103" w:type="dxa"/>
            <w:vMerge w:val="restart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/>
                <w:bCs/>
              </w:rPr>
              <w:t>Ответственные исполнители</w:t>
            </w:r>
          </w:p>
        </w:tc>
      </w:tr>
      <w:tr>
        <w:trPr>
          <w:trHeight w:val="514" w:hRule="atLeast"/>
        </w:trPr>
        <w:tc>
          <w:tcPr>
            <w:tcW w:w="6945" w:type="dxa"/>
            <w:vMerge w:val="continue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/>
                <w:bCs/>
              </w:rPr>
              <w:t>План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/>
                <w:bCs/>
              </w:rPr>
              <w:t>Факт</w:t>
            </w:r>
          </w:p>
        </w:tc>
        <w:tc>
          <w:tcPr>
            <w:tcW w:w="5103" w:type="dxa"/>
            <w:vMerge w:val="continue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</w:tr>
      <w:tr>
        <w:trPr>
          <w:trHeight w:val="611" w:hRule="atLeast"/>
        </w:trPr>
        <w:tc>
          <w:tcPr>
            <w:tcW w:w="6945" w:type="dxa"/>
            <w:tcBorders/>
            <w:shd w:fill="auto" w:val="clear"/>
          </w:tcPr>
          <w:p>
            <w:pPr>
              <w:pStyle w:val="Default"/>
              <w:suppressAutoHyphens w:val="true"/>
              <w:jc w:val="both"/>
              <w:rPr>
                <w:rFonts w:ascii="Times New Roman" w:hAnsi="Times New Roman" w:eastAsia="Times New Roman"/>
                <w:b w:val="false"/>
                <w:b w:val="false"/>
                <w:bCs w:val="false"/>
              </w:rPr>
            </w:pPr>
            <w:r>
              <w:rPr>
                <w:rFonts w:eastAsia="Times New Roman"/>
                <w:b w:val="false"/>
                <w:bCs w:val="false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Cs/>
              </w:rPr>
              <w:t>2020г – 2</w:t>
            </w:r>
          </w:p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Cs/>
              </w:rPr>
              <w:t>100%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Cs/>
              </w:rPr>
              <w:t>2020г —</w:t>
            </w:r>
            <w:r>
              <w:rPr>
                <w:rFonts w:eastAsia="Times New Roman"/>
                <w:bCs/>
                <w:highlight w:val="white"/>
              </w:rPr>
              <w:t>2</w:t>
            </w:r>
          </w:p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Cs/>
                <w:highlight w:val="white"/>
              </w:rPr>
              <w:t>100%</w:t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Отдел экономики и труда Администрации района</w:t>
            </w:r>
          </w:p>
        </w:tc>
      </w:tr>
    </w:tbl>
    <w:p>
      <w:pPr>
        <w:pStyle w:val="Default"/>
        <w:suppressAutoHyphens w:val="true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</w:r>
    </w:p>
    <w:tbl>
      <w:tblPr>
        <w:tblStyle w:val="ae"/>
        <w:tblW w:w="1597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1"/>
        <w:gridCol w:w="6677"/>
        <w:gridCol w:w="1800"/>
        <w:gridCol w:w="4578"/>
        <w:gridCol w:w="2221"/>
      </w:tblGrid>
      <w:tr>
        <w:trPr>
          <w:tblHeader w:val="true"/>
          <w:trHeight w:val="960" w:hRule="atLeast"/>
        </w:trPr>
        <w:tc>
          <w:tcPr>
            <w:tcW w:w="701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77" w:type="dxa"/>
            <w:tcBorders/>
            <w:shd w:fill="auto" w:val="clear"/>
            <w:vAlign w:val="center"/>
          </w:tcPr>
          <w:p>
            <w:pPr>
              <w:pStyle w:val="NoSpacing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0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578" w:type="dxa"/>
            <w:tcBorders/>
            <w:shd w:fill="auto" w:val="clear"/>
          </w:tcPr>
          <w:p>
            <w:pPr>
              <w:pStyle w:val="NoSpacing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21" w:type="dxa"/>
            <w:tcBorders/>
            <w:shd w:fill="auto" w:val="clear"/>
            <w:vAlign w:val="center"/>
          </w:tcPr>
          <w:p>
            <w:pPr>
              <w:pStyle w:val="NoSpacing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>
        <w:trPr>
          <w:trHeight w:val="610" w:hRule="atLeast"/>
        </w:trPr>
        <w:tc>
          <w:tcPr>
            <w:tcW w:w="701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677" w:type="dxa"/>
            <w:tcBorders/>
            <w:shd w:fill="auto" w:val="clear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Проведение мониторинга состояния рынка оказания услуг по ремонту автотранспортных средств в Мантуровском районе Курской области</w:t>
            </w:r>
          </w:p>
        </w:tc>
        <w:tc>
          <w:tcPr>
            <w:tcW w:w="1800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2019-2021 г.г.</w:t>
            </w:r>
          </w:p>
        </w:tc>
        <w:tc>
          <w:tcPr>
            <w:tcW w:w="4578" w:type="dxa"/>
            <w:tcBorders/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По итогам проведенного мониторинга на 01.01.2021 года 2 частных организации оказывают услуги по ремонту автотранспортных средств, доля участия частных предприятий составляет 100% </w:t>
            </w:r>
          </w:p>
        </w:tc>
        <w:tc>
          <w:tcPr>
            <w:tcW w:w="2221" w:type="dxa"/>
            <w:tcBorders/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Отдел экономики и труда Администрации района</w:t>
            </w:r>
          </w:p>
        </w:tc>
      </w:tr>
      <w:tr>
        <w:trPr>
          <w:trHeight w:val="610" w:hRule="atLeast"/>
        </w:trPr>
        <w:tc>
          <w:tcPr>
            <w:tcW w:w="7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3.2.</w:t>
            </w:r>
          </w:p>
        </w:tc>
        <w:tc>
          <w:tcPr>
            <w:tcW w:w="667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Оказание консультационной и методической поддержки хозяйствующим субъектам, открывающим объекты по ремонту автотранспортных средств на территории Мантуровского района</w:t>
            </w:r>
          </w:p>
        </w:tc>
        <w:tc>
          <w:tcPr>
            <w:tcW w:w="18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2019-2021 г.г.</w:t>
            </w:r>
          </w:p>
        </w:tc>
        <w:tc>
          <w:tcPr>
            <w:tcW w:w="4578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 2020 году за оказанием консультативной помощи и методической поддержки обращений не поступало</w:t>
            </w:r>
          </w:p>
        </w:tc>
        <w:tc>
          <w:tcPr>
            <w:tcW w:w="222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Отдел экономики и труда Администрации района</w:t>
            </w:r>
          </w:p>
        </w:tc>
      </w:tr>
      <w:tr>
        <w:trPr>
          <w:trHeight w:val="610" w:hRule="atLeast"/>
        </w:trPr>
        <w:tc>
          <w:tcPr>
            <w:tcW w:w="7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3.3.</w:t>
            </w:r>
          </w:p>
        </w:tc>
        <w:tc>
          <w:tcPr>
            <w:tcW w:w="667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Проведение семинаров, «круглых столов», направленных на выработку согласованных комплексных подходов к решению задач, связанных с развитием рынка ремонта автотранспортных средств</w:t>
            </w:r>
          </w:p>
        </w:tc>
        <w:tc>
          <w:tcPr>
            <w:tcW w:w="180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2019-2021 г.г.</w:t>
            </w:r>
          </w:p>
        </w:tc>
        <w:tc>
          <w:tcPr>
            <w:tcW w:w="4578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В 2020 году с участием областных структур  семинара с СМП не проводилось. Проблемы по оказанию услуг по ремонту автотранспортных средств отсутствуют</w:t>
            </w:r>
          </w:p>
        </w:tc>
        <w:tc>
          <w:tcPr>
            <w:tcW w:w="222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Отдел экономики и труда Администрации района</w:t>
            </w:r>
          </w:p>
        </w:tc>
      </w:tr>
    </w:tbl>
    <w:p>
      <w:pPr>
        <w:pStyle w:val="Default"/>
        <w:suppressAutoHyphens w:val="true"/>
        <w:jc w:val="center"/>
        <w:rPr/>
      </w:pPr>
      <w:r>
        <w:rPr>
          <w:b/>
          <w:sz w:val="26"/>
          <w:szCs w:val="26"/>
        </w:rPr>
        <w:t xml:space="preserve">4. Рынок </w:t>
      </w:r>
      <w:r>
        <w:rPr>
          <w:b/>
          <w:bCs/>
          <w:color w:val="auto"/>
          <w:sz w:val="26"/>
          <w:szCs w:val="26"/>
        </w:rPr>
        <w:t>оказания услуг по перевозке пассажиров автомобильным транспортом по межмуниципальным маршрутам регулярных перевозок</w:t>
      </w:r>
    </w:p>
    <w:p>
      <w:pPr>
        <w:pStyle w:val="Default"/>
        <w:suppressAutoHyphens w:val="true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</w:r>
    </w:p>
    <w:tbl>
      <w:tblPr>
        <w:tblStyle w:val="ae"/>
        <w:tblW w:w="16018" w:type="dxa"/>
        <w:jc w:val="left"/>
        <w:tblInd w:w="-4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45"/>
        <w:gridCol w:w="1985"/>
        <w:gridCol w:w="1984"/>
        <w:gridCol w:w="5103"/>
      </w:tblGrid>
      <w:tr>
        <w:trPr>
          <w:trHeight w:val="515" w:hRule="atLeast"/>
        </w:trPr>
        <w:tc>
          <w:tcPr>
            <w:tcW w:w="6945" w:type="dxa"/>
            <w:vMerge w:val="restart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показателя</w:t>
            </w:r>
          </w:p>
        </w:tc>
        <w:tc>
          <w:tcPr>
            <w:tcW w:w="3969" w:type="dxa"/>
            <w:gridSpan w:val="2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5103" w:type="dxa"/>
            <w:vMerge w:val="restart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/>
                <w:bCs/>
              </w:rPr>
              <w:t>Ответственные исполнители</w:t>
            </w:r>
          </w:p>
        </w:tc>
      </w:tr>
      <w:tr>
        <w:trPr>
          <w:trHeight w:val="514" w:hRule="atLeast"/>
        </w:trPr>
        <w:tc>
          <w:tcPr>
            <w:tcW w:w="6945" w:type="dxa"/>
            <w:vMerge w:val="continue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/>
                <w:bCs/>
              </w:rPr>
              <w:t>План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/>
                <w:bCs/>
              </w:rPr>
              <w:t>Факт</w:t>
            </w:r>
          </w:p>
        </w:tc>
        <w:tc>
          <w:tcPr>
            <w:tcW w:w="5103" w:type="dxa"/>
            <w:vMerge w:val="continue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</w:tr>
      <w:tr>
        <w:trPr>
          <w:trHeight w:val="611" w:hRule="atLeast"/>
        </w:trPr>
        <w:tc>
          <w:tcPr>
            <w:tcW w:w="6945" w:type="dxa"/>
            <w:tcBorders/>
            <w:shd w:fill="auto" w:val="clear"/>
          </w:tcPr>
          <w:p>
            <w:pPr>
              <w:pStyle w:val="Default"/>
              <w:suppressAutoHyphens w:val="true"/>
              <w:jc w:val="both"/>
              <w:rPr/>
            </w:pPr>
            <w:r>
              <w:rPr>
                <w:rFonts w:eastAsia="Times New Roman"/>
                <w:b w:val="false"/>
                <w:bCs w:val="false"/>
              </w:rPr>
              <w:t>Доля услуг по перевозке пассажиров автомобильным транспортом по межмуниципальным маршрутам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Cs/>
              </w:rPr>
              <w:t>2020г –1</w:t>
            </w:r>
          </w:p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Cs/>
              </w:rPr>
              <w:t>100%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Cs/>
              </w:rPr>
              <w:t xml:space="preserve">2020г — </w:t>
            </w:r>
            <w:r>
              <w:rPr>
                <w:rFonts w:eastAsia="Times New Roman"/>
                <w:bCs/>
                <w:highlight w:val="white"/>
              </w:rPr>
              <w:t>1</w:t>
            </w:r>
          </w:p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/>
                <w:bCs/>
                <w:highlight w:val="white"/>
              </w:rPr>
              <w:t>100%</w:t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sz w:val="24"/>
                <w:szCs w:val="24"/>
              </w:rPr>
            </w:pPr>
            <w:bookmarkStart w:id="2" w:name="__DdeLink__513_1133620296"/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Отдел экономики и труда Администрации района</w:t>
            </w:r>
            <w:bookmarkEnd w:id="2"/>
          </w:p>
        </w:tc>
      </w:tr>
    </w:tbl>
    <w:p>
      <w:pPr>
        <w:pStyle w:val="Default"/>
        <w:suppressAutoHyphens w:val="true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</w:r>
    </w:p>
    <w:tbl>
      <w:tblPr>
        <w:tblStyle w:val="ae"/>
        <w:tblW w:w="1597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1"/>
        <w:gridCol w:w="6332"/>
        <w:gridCol w:w="1759"/>
        <w:gridCol w:w="4961"/>
        <w:gridCol w:w="2224"/>
      </w:tblGrid>
      <w:tr>
        <w:trPr>
          <w:tblHeader w:val="true"/>
          <w:trHeight w:val="900" w:hRule="atLeast"/>
        </w:trPr>
        <w:tc>
          <w:tcPr>
            <w:tcW w:w="701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332" w:type="dxa"/>
            <w:tcBorders/>
            <w:shd w:fill="auto" w:val="clear"/>
            <w:vAlign w:val="center"/>
          </w:tcPr>
          <w:p>
            <w:pPr>
              <w:pStyle w:val="NoSpacing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59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Spacing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24" w:type="dxa"/>
            <w:tcBorders/>
            <w:shd w:fill="auto" w:val="clear"/>
            <w:vAlign w:val="center"/>
          </w:tcPr>
          <w:p>
            <w:pPr>
              <w:pStyle w:val="NoSpacing"/>
              <w:suppressAutoHyphens w:val="true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>
        <w:trPr>
          <w:trHeight w:val="670" w:hRule="atLeast"/>
        </w:trPr>
        <w:tc>
          <w:tcPr>
            <w:tcW w:w="701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332" w:type="dxa"/>
            <w:tcBorders/>
            <w:shd w:fill="auto" w:val="clear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Размещение информации о порядке проведения конкурсных процедур на право осуществления перевозок по муниципальным маршрутам Мантуровского района Курской области</w:t>
            </w:r>
          </w:p>
        </w:tc>
        <w:tc>
          <w:tcPr>
            <w:tcW w:w="1759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2019-2021 г.г.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На осуществление перевозок по муниципальным маршрутам  проводился аукцион. Вся информация  о конкурсных процедурах размещена в единой информационной системе в сфере закупок. Данные услуги оказываются частным перевозчиком по трем муниципальным маршрутам.</w:t>
            </w:r>
          </w:p>
        </w:tc>
        <w:tc>
          <w:tcPr>
            <w:tcW w:w="2224" w:type="dxa"/>
            <w:tcBorders/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>
        <w:trPr>
          <w:trHeight w:val="670" w:hRule="atLeast"/>
        </w:trPr>
        <w:tc>
          <w:tcPr>
            <w:tcW w:w="7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4.2.</w:t>
            </w:r>
          </w:p>
        </w:tc>
        <w:tc>
          <w:tcPr>
            <w:tcW w:w="633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Разработка документа планирования регулярных автоперевозок пассажиров по муниципальным маршрутам с учетом полученной в ходе анализа информации и внесение соответствующих изменений</w:t>
            </w:r>
          </w:p>
        </w:tc>
        <w:tc>
          <w:tcPr>
            <w:tcW w:w="175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2019-2021 г.г.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13.09.2016 № 201 принято постановление Администрации Мантуровского района Курской области  «Об отдельных вопросах организации регулярных перевозок на территории Мантуровского района Курской области. 27.12.2019 № 722 принято постановление Администрации Мантуровского района Курской области «О планируемых регулярных перевозок муниципальных маршрутов на территории Мантуровского района Курской области».</w:t>
            </w:r>
          </w:p>
        </w:tc>
        <w:tc>
          <w:tcPr>
            <w:tcW w:w="222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>
        <w:trPr>
          <w:trHeight w:val="670" w:hRule="atLeast"/>
        </w:trPr>
        <w:tc>
          <w:tcPr>
            <w:tcW w:w="7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4.3.</w:t>
            </w:r>
          </w:p>
        </w:tc>
        <w:tc>
          <w:tcPr>
            <w:tcW w:w="633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Организация мероприятий по пресечению деятельности нелегальных перевозчиков, включая организацию взаимодействия с территориальными органами ОГИБДД ОМВД России по Мантуровскому району  Курской области</w:t>
            </w:r>
          </w:p>
        </w:tc>
        <w:tc>
          <w:tcPr>
            <w:tcW w:w="175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2019-2021 г.г.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Постановлением Администрации Мантуровского района Курской области  от 15.04.2019 № 182  создана межведомственная комиссия по контролю в области пассажирских перевозок и пресечения фактов осуществления нелегальных пассажирских перевозок по муниципальным маршрутам на территории Мантуровского района Курской области. В 2020 году рейдовых мероприятий по данному вопросу не проводилось. </w:t>
            </w:r>
          </w:p>
          <w:p>
            <w:pPr>
              <w:pStyle w:val="NoSpacing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2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</w:tbl>
    <w:p>
      <w:pPr>
        <w:pStyle w:val="Default"/>
        <w:suppressAutoHyphens w:val="true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</w:r>
    </w:p>
    <w:p>
      <w:pPr>
        <w:pStyle w:val="Default"/>
        <w:suppressAutoHyphens w:val="true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</w:r>
    </w:p>
    <w:p>
      <w:pPr>
        <w:pStyle w:val="Default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Системные мероприятия</w:t>
      </w:r>
    </w:p>
    <w:p>
      <w:pPr>
        <w:pStyle w:val="Default"/>
        <w:suppressAutoHyphens w:val="true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</w:r>
    </w:p>
    <w:tbl>
      <w:tblPr>
        <w:tblStyle w:val="ae"/>
        <w:tblW w:w="1591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1"/>
        <w:gridCol w:w="4961"/>
        <w:gridCol w:w="6164"/>
        <w:gridCol w:w="1984"/>
        <w:gridCol w:w="2201"/>
      </w:tblGrid>
      <w:tr>
        <w:trPr>
          <w:tblHeader w:val="true"/>
        </w:trPr>
        <w:tc>
          <w:tcPr>
            <w:tcW w:w="601" w:type="dxa"/>
            <w:tcBorders/>
            <w:shd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961" w:type="dxa"/>
            <w:tcBorders/>
            <w:shd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64" w:type="dxa"/>
            <w:tcBorders/>
            <w:shd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Отчет о выполнение мероприятия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2201" w:type="dxa"/>
            <w:tcBorders/>
            <w:shd w:fill="auto" w:val="clear"/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  <w:p>
            <w:pPr>
              <w:pStyle w:val="NoSpacing"/>
              <w:widowControl w:val="false"/>
              <w:suppressAutoHyphens w:val="tru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(соисполнители)</w:t>
            </w:r>
          </w:p>
        </w:tc>
      </w:tr>
      <w:tr>
        <w:trPr/>
        <w:tc>
          <w:tcPr>
            <w:tcW w:w="15911" w:type="dxa"/>
            <w:gridSpan w:val="5"/>
            <w:tcBorders/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конкурсных  способов определения поставщиков (подрядчиков, исполнителей)</w:t>
            </w:r>
          </w:p>
        </w:tc>
      </w:tr>
      <w:tr>
        <w:trPr/>
        <w:tc>
          <w:tcPr>
            <w:tcW w:w="6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1.</w:t>
            </w:r>
          </w:p>
        </w:tc>
        <w:tc>
          <w:tcPr>
            <w:tcW w:w="15310" w:type="dxa"/>
            <w:gridSpan w:val="4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случаев (снижение количества) осуществления закупки у единственного поставщика</w:t>
            </w:r>
          </w:p>
        </w:tc>
      </w:tr>
      <w:tr>
        <w:trPr>
          <w:trHeight w:val="3180" w:hRule="atLeast"/>
        </w:trPr>
        <w:tc>
          <w:tcPr>
            <w:tcW w:w="601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961" w:type="dxa"/>
            <w:tcBorders/>
            <w:shd w:fill="auto" w:val="clear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Использование конкурсных процедур (конкурсов, аукционов, запросов котировок) при осуществлении государственных и муниципальных закупок</w:t>
            </w:r>
          </w:p>
        </w:tc>
        <w:tc>
          <w:tcPr>
            <w:tcW w:w="61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333333"/>
                <w:sz w:val="24"/>
                <w:szCs w:val="24"/>
                <w:shd w:fill="FFFFFF" w:val="clear"/>
                <w:lang w:eastAsia="ru-RU"/>
              </w:rPr>
              <w:t>В сфере закупок администрация района,  ее структурные подразделения, включая большинство бюджетных учреждений, работают в соответствии с 44 Федеральным законом «О контрактной системе в сфере закупок товаров, работ, услуг для обеспечения государственных и муниципальных нужд». Основные принципы 44 ФЗ: открытость, прозрачность, доступность, обеспечение честной конкуренции, экономия бюджетных средств. Сведения о закупке размещаются на официальном сайте госзакупок в плане-графике заказчика. Любой желающий может подавать заявку на участие в торгах.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44-ФЗ</w:t>
            </w:r>
          </w:p>
        </w:tc>
        <w:tc>
          <w:tcPr>
            <w:tcW w:w="2201" w:type="dxa"/>
            <w:tcBorders/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>
        <w:trPr/>
        <w:tc>
          <w:tcPr>
            <w:tcW w:w="601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4"/>
                <w:szCs w:val="24"/>
              </w:rPr>
              <w:t>2.</w:t>
            </w:r>
          </w:p>
        </w:tc>
        <w:tc>
          <w:tcPr>
            <w:tcW w:w="15310" w:type="dxa"/>
            <w:gridSpan w:val="4"/>
            <w:tcBorders/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color w:val="auto"/>
                <w:sz w:val="24"/>
                <w:szCs w:val="24"/>
              </w:rPr>
              <w:t>Введение  механизма оказания содействия заказчикам по вопросам, связанным с получением электронной подписи. Формированием заявок, а также правовым  сопровождением при осуществлении закупок</w:t>
            </w:r>
          </w:p>
        </w:tc>
      </w:tr>
      <w:tr>
        <w:trPr/>
        <w:tc>
          <w:tcPr>
            <w:tcW w:w="601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961" w:type="dxa"/>
            <w:tcBorders/>
            <w:shd w:fill="auto" w:val="clear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Проведение обучающих мероприятий для заказчиков по вопросам, связанным с получением электронной подписи, применения типовых технических заданий и контрактов при проведении закупок</w:t>
            </w:r>
          </w:p>
        </w:tc>
        <w:tc>
          <w:tcPr>
            <w:tcW w:w="6164" w:type="dxa"/>
            <w:tcBorders/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Обучающие мероприятия для заказчиков по вопросам, связанным с получением электронной подписи, применения типовых технических заданий и контрактов при проведении закупок проводятся на договорной основе с привлечением образовательных организаций г. Курска.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>
                <w:rFonts w:eastAsia="Times New Roman"/>
                <w:b w:val="false"/>
                <w:b w:val="false"/>
                <w:bCs w:val="false"/>
                <w:color w:val="auto"/>
                <w:sz w:val="26"/>
                <w:szCs w:val="26"/>
              </w:rPr>
            </w:pPr>
            <w:r>
              <w:rPr>
                <w:rFonts w:eastAsia="Times New Roman"/>
                <w:b w:val="false"/>
                <w:bCs w:val="false"/>
                <w:color w:val="auto"/>
                <w:sz w:val="26"/>
                <w:szCs w:val="26"/>
              </w:rPr>
              <w:t>44-ФЗ</w:t>
            </w:r>
          </w:p>
        </w:tc>
        <w:tc>
          <w:tcPr>
            <w:tcW w:w="2201" w:type="dxa"/>
            <w:tcBorders/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>
        <w:trPr/>
        <w:tc>
          <w:tcPr>
            <w:tcW w:w="15911" w:type="dxa"/>
            <w:gridSpan w:val="5"/>
            <w:tcBorders/>
            <w:shd w:fill="auto" w:val="clear"/>
            <w:vAlign w:val="center"/>
          </w:tcPr>
          <w:p>
            <w:pPr>
              <w:pStyle w:val="NoSpacing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   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6"/>
                <w:szCs w:val="26"/>
              </w:rPr>
              <w:t xml:space="preserve">          </w:t>
            </w:r>
            <w:r>
              <w:rPr>
                <w:rFonts w:eastAsia="Times New Roman" w:ascii="Times New Roman" w:hAnsi="Times New Roman"/>
                <w:b w:val="false"/>
                <w:bCs w:val="false"/>
                <w:color w:val="auto"/>
                <w:sz w:val="26"/>
                <w:szCs w:val="26"/>
              </w:rPr>
              <w:t>3.  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>
        <w:trPr>
          <w:trHeight w:val="1253" w:hRule="atLeast"/>
        </w:trPr>
        <w:tc>
          <w:tcPr>
            <w:tcW w:w="601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961" w:type="dxa"/>
            <w:tcBorders/>
            <w:shd w:fill="auto" w:val="clear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Проведение анализа практики реализации муниципальных функций и услуг на предмет соответствия такой практики статьи 15 и 16 Федерального закона «О защите конкуренции»</w:t>
            </w:r>
          </w:p>
        </w:tc>
        <w:tc>
          <w:tcPr>
            <w:tcW w:w="61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bookmarkStart w:id="3" w:name="__DdeLink__778_2411226684"/>
            <w:r>
              <w:rPr>
                <w:rFonts w:eastAsia="" w:cs="Times New Roman" w:ascii="Times New Roman" w:hAnsi="Times New Roman"/>
                <w:bCs/>
                <w:sz w:val="24"/>
                <w:szCs w:val="24"/>
                <w:lang w:eastAsia="ru-RU"/>
              </w:rPr>
              <w:t>В 2020 году реализация муниципальных функций и услуг проходила  в соответствии со статьями 15 и 16 Федерального закона «О защите конкуренции». Р</w:t>
            </w:r>
            <w:r>
              <w:rPr>
                <w:rFonts w:eastAsia="" w:cs="Times New Roman"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абота велась в рамках следующих направлений:</w:t>
              <w:br/>
              <w:t>внедрение управления по результатам и проектного управления;</w:t>
              <w:br/>
              <w:t>регламентация и стандартизация государственных и муниципальных услуг (функций);</w:t>
              <w:br/>
              <w:t xml:space="preserve">предоставление информации о государственных услугах, оказываемых в электронной форме; </w:t>
              <w:br/>
              <w:t>организация предоставления государственных и муниципальных услуг по принципу "одного окна" на базе многофункциональных центров предоставления государственных и муниципальных услуг;</w:t>
              <w:br/>
              <w:t>размещение государственного и муниципального заказа;</w:t>
              <w:br/>
              <w:t>противодействие коррупции.</w:t>
            </w:r>
            <w:bookmarkEnd w:id="3"/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9-ФЗ</w:t>
            </w:r>
          </w:p>
        </w:tc>
        <w:tc>
          <w:tcPr>
            <w:tcW w:w="2201" w:type="dxa"/>
            <w:tcBorders/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>
        <w:trPr>
          <w:trHeight w:val="908" w:hRule="atLeast"/>
        </w:trPr>
        <w:tc>
          <w:tcPr>
            <w:tcW w:w="15911" w:type="dxa"/>
            <w:gridSpan w:val="5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порядке проведения оценки регулирующего воздействия проектов нормативных правовых актов органов местного самоуправления и экспертизы нормативных правовых актов органов местного самоуправления, устанавливаемых в соответствии с федеральным законом «Об общих принципах местного самоуправления в Российской Федерации»,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4" w:hRule="atLeast"/>
        </w:trPr>
        <w:tc>
          <w:tcPr>
            <w:tcW w:w="6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регулирующего воздействия проектов нормативных муниципальных правовых актов и фактического воздействия нормативных правовых актов на состояние конкуренции</w:t>
            </w:r>
          </w:p>
        </w:tc>
        <w:tc>
          <w:tcPr>
            <w:tcW w:w="61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В соответствии с 9-ЗКО « О порядке проведения оценки регулирующего воздействия проектов нормативных правовых актов Курской области, проектов муниципальных нормативных правовых актов и экспертизы нормативных , муниципальных нормативных правовых актов на территории Курской области»  ст. 9.2. проведение оценки регулирующего воздействия проектов муниципальных нормативных правовых актов и экспертизы муниципальных правовых актов для  муниципального района «Мантуровский район» Курской области является не обязательным. В 2020 году оценка регулирующего воздействия в муниципальном районе не проводилась.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Отдел экономики и труда Администрации района</w:t>
            </w:r>
          </w:p>
        </w:tc>
      </w:tr>
      <w:tr>
        <w:trPr>
          <w:trHeight w:val="345" w:hRule="atLeast"/>
        </w:trPr>
        <w:tc>
          <w:tcPr>
            <w:tcW w:w="15911" w:type="dxa"/>
            <w:gridSpan w:val="5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на ограничение влияния муниципальных предприятий на конкуренцию, включая: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-разработку, утверждение и выполнение комплексного плана по эффективному управлению муниципальными предприятиями и учреждениями, акционерными обществами с муниципальным участием, муниципальными некоммерческими организациями, осуществляющими предпринимательскую деятельность, в которой содержатся в том числе ключевые показатели эффективности деятельности</w:t>
            </w:r>
          </w:p>
        </w:tc>
      </w:tr>
      <w:tr>
        <w:trPr>
          <w:trHeight w:val="345" w:hRule="atLeast"/>
        </w:trPr>
        <w:tc>
          <w:tcPr>
            <w:tcW w:w="6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4.1.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Обеспечение приватизации в соответствии с нормами, установленными законодательством о приватизации имущества, находящегося в муниципальном районе «Мантуровский район» Курской области</w:t>
            </w:r>
          </w:p>
        </w:tc>
        <w:tc>
          <w:tcPr>
            <w:tcW w:w="61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 xml:space="preserve">Приватизация  имущества, находящегося в муниципальном районе «Мантуровский район» Курской области  планом на 2020 не предусматривалась. Постановлением Администрации Мантуровского района утверждено положение «О порядке и условиях предоставления в аренду имущества, включенного в Перечень муниципального имущества,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субъектов». В Перечень муниципального имущества, предназначенного для передачи во владение и (или) пользование СМСП, включено 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34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 xml:space="preserve"> объект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 xml:space="preserve"> недвижимого имущества.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>
        <w:trPr>
          <w:trHeight w:val="345" w:hRule="atLeast"/>
        </w:trPr>
        <w:tc>
          <w:tcPr>
            <w:tcW w:w="6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открытого реестра муниципальных предприятий и учреждений, акционерных обществ с долей участия муниципальных образований более 50 процентов с включением информации об основных показателях их экономической (финансовой) деятельности и ведение его в актуальном состоянии</w:t>
            </w:r>
          </w:p>
        </w:tc>
        <w:tc>
          <w:tcPr>
            <w:tcW w:w="61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bookmarkStart w:id="4" w:name="__DdeLink__27354_3729289169"/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Муниципальные предприятия и учреждения, акционерные общества с долей участия муниципальных образований более 50 процентов отсутствуют</w:t>
            </w:r>
            <w:bookmarkEnd w:id="4"/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Отдел экономики и труда Администрации района</w:t>
            </w:r>
          </w:p>
        </w:tc>
      </w:tr>
      <w:tr>
        <w:trPr/>
        <w:tc>
          <w:tcPr>
            <w:tcW w:w="15911" w:type="dxa"/>
            <w:gridSpan w:val="5"/>
            <w:tcBorders/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5. Содействие развитию практики применения механизмов, муниципально-частного партнерства, в том числе практики заключения концессионных соглашений, в социальной сфере (детский отдых и оздоровление)</w:t>
            </w:r>
          </w:p>
        </w:tc>
      </w:tr>
      <w:tr>
        <w:trPr>
          <w:trHeight w:val="280" w:hRule="atLeast"/>
        </w:trPr>
        <w:tc>
          <w:tcPr>
            <w:tcW w:w="601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5.1.</w:t>
            </w:r>
          </w:p>
        </w:tc>
        <w:tc>
          <w:tcPr>
            <w:tcW w:w="4961" w:type="dxa"/>
            <w:tcBorders/>
            <w:shd w:fill="auto" w:val="clear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Обеспечение проведения конкурсных процедур по закупке услуг по предоставлению детского отдыха и оздоровления детей в организациях отдыха и оздоровления</w:t>
            </w:r>
          </w:p>
        </w:tc>
        <w:tc>
          <w:tcPr>
            <w:tcW w:w="6164" w:type="dxa"/>
            <w:tcBorders/>
            <w:shd w:fill="auto" w:val="clear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По предоставлению детского отдыха и оздоровления детей в организациях отдыха и оздоровления в районе на базе 11 образовательных организаций в 2020 году организована работа лагерей с дневным пребыванием детей в дистанционном формате с компенсацией набора продуктов для двухразового питания детей, было оздоровлено 188 детей, из низ 182 ребенка находящихся в трудной жизненной ситуации. В загородных лагерях оздоровлено 18 детей, в том числе 16  детей из семей, находящихся в трудной жизненной ситуации. Всего было выдано 9 путевок в санаторно-оздоровительные  учреждения, из них 7 путевок для детей, находящихся в ТЖС. , 3 путевки выдано в профильный лагерь « Юный витязь- будущее России», на базе детского оздоровительного лагеря «Дубки» ( Курчатовский район). Предоставление услуг детского отдыха и оздоровления проводится с соответствии с 44-ФЗ </w:t>
            </w:r>
            <w:r>
              <w:rPr>
                <w:rFonts w:eastAsia="" w:cs="Times New Roman" w:ascii="Times New Roman" w:hAnsi="Times New Roman"/>
                <w:color w:val="333333"/>
                <w:sz w:val="24"/>
                <w:szCs w:val="24"/>
                <w:shd w:fill="FFFFFF" w:val="clear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1" w:type="dxa"/>
            <w:tcBorders/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Отдел экономики и труда Администрации района</w:t>
            </w:r>
          </w:p>
        </w:tc>
      </w:tr>
      <w:tr>
        <w:trPr>
          <w:trHeight w:val="280" w:hRule="atLeast"/>
        </w:trPr>
        <w:tc>
          <w:tcPr>
            <w:tcW w:w="15911" w:type="dxa"/>
            <w:gridSpan w:val="5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6. 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>
        <w:trPr>
          <w:trHeight w:val="280" w:hRule="atLeast"/>
        </w:trPr>
        <w:tc>
          <w:tcPr>
            <w:tcW w:w="6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6.1.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  <w:tc>
          <w:tcPr>
            <w:tcW w:w="61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Ежегодно для муниципальных служащих проводятся областные обучающие семинары на тему основы государственной политики в области развития конкуренции и антимонопольного законодательства Российской Федерации. В 2020 году  обучение на указанную тему   не проводилось.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>
        <w:trPr>
          <w:trHeight w:val="280" w:hRule="atLeast"/>
        </w:trPr>
        <w:tc>
          <w:tcPr>
            <w:tcW w:w="15911" w:type="dxa"/>
            <w:gridSpan w:val="5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7. Внедрение в Мантуровском районе Курской области Стандарта развития конкуренции</w:t>
            </w:r>
          </w:p>
        </w:tc>
      </w:tr>
      <w:tr>
        <w:trPr>
          <w:trHeight w:val="280" w:hRule="atLeast"/>
        </w:trPr>
        <w:tc>
          <w:tcPr>
            <w:tcW w:w="6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Администрацией Мантуровского района Курской области мониторинга состояния и развития конкурентной среды на рынках товаров, работ и услуг</w:t>
            </w:r>
          </w:p>
        </w:tc>
        <w:tc>
          <w:tcPr>
            <w:tcW w:w="61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678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По состоянию на 01.01.2020 года в Мантуровском районе зарегистрировано 281 субъектов малого и среднего предпринимательства; из них- 267 индивидуальных предпринимателей, 13 малых предприятий и 1 среднее предприятие. По видам экономической деятельности: большая часть субъектов малого бизнеса сосредоточено в сфере торгово-закупочной деятельности или 26,3%; в сельском хозяйстве зарегистрировано 34 ИП или 12,1; , 2 СМП осуществляют  деятельность с недвижимостью, остальные прочими видами деятельности.</w:t>
            </w:r>
          </w:p>
          <w:p>
            <w:pPr>
              <w:pStyle w:val="Normal"/>
              <w:tabs>
                <w:tab w:val="left" w:pos="1678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В 2020 году в рамках проведения мониторинга состояния и развития конкурентной среды на рынках товаров и услуг Курской области, измерение оценки качества о состоянии конкурентной среды на рынках товаров и услуг в районе и деятельности по содействию развитию конкуренции, размещаемой в открытом доступе, проводилось анкетирование (опрос мнения потребителей и предпринимателей). В анкетировании приняли участие 17 потребителей товаров и услуг и 20 индивидуальных предпринимателей.  По каждому вопросу, предложенных в анкетах, респонденты высказывали степень своей удовлетворенности. Результаты анкет были направлены в комитет экономики и развития Курской области для дальнейшего обобщения и анализа.</w:t>
            </w:r>
          </w:p>
          <w:p>
            <w:pPr>
              <w:pStyle w:val="Normal"/>
              <w:tabs>
                <w:tab w:val="left" w:pos="1678" w:leader="none"/>
              </w:tabs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/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Отдел экономики и труда Администрации района</w:t>
            </w:r>
          </w:p>
        </w:tc>
      </w:tr>
      <w:tr>
        <w:trPr>
          <w:trHeight w:val="280" w:hRule="atLeast"/>
        </w:trPr>
        <w:tc>
          <w:tcPr>
            <w:tcW w:w="6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деятельности унитарных предприятий и хозяйственных обществ, доля участия муниципального района «Мантуровский район» Курской области в которых составляет 50 и более процентов </w:t>
            </w:r>
          </w:p>
        </w:tc>
        <w:tc>
          <w:tcPr>
            <w:tcW w:w="61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Муниципальные предприятия и учреждения, акционерные общества с долей участия муниципальных образований более 50 процентов отсутствуют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Отдел экономики и труда Администрации района</w:t>
            </w:r>
          </w:p>
        </w:tc>
      </w:tr>
      <w:tr>
        <w:trPr>
          <w:trHeight w:val="280" w:hRule="atLeast"/>
        </w:trPr>
        <w:tc>
          <w:tcPr>
            <w:tcW w:w="6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496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освещение деятельности по содействию развитию конкуренции в Мантуровском районе Курской области в средствах массовой информации, в том числе на официальном сайте Администрации Мантуровского района в сети «Интернет»</w:t>
            </w:r>
          </w:p>
        </w:tc>
        <w:tc>
          <w:tcPr>
            <w:tcW w:w="616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Вся информация о деятельности по содействию развитию конкуренции размещена на официальном сайте  Администрации района в разделе «Справочная информация» в подразделе «Содействие развитию конкуренции».</w:t>
            </w:r>
          </w:p>
        </w:tc>
        <w:tc>
          <w:tcPr>
            <w:tcW w:w="198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Default"/>
              <w:suppressAutoHyphens w:val="true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sz w:val="24"/>
                <w:szCs w:val="24"/>
              </w:rPr>
              <w:t>Отдел экономики и труда Администрации района</w:t>
            </w:r>
          </w:p>
        </w:tc>
      </w:tr>
    </w:tbl>
    <w:p>
      <w:pPr>
        <w:pStyle w:val="Default"/>
        <w:suppressAutoHyphens w:val="true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</w:r>
    </w:p>
    <w:p>
      <w:pPr>
        <w:pStyle w:val="Default"/>
        <w:suppressAutoHyphens w:val="true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851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ang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>
        <w:rFonts w:ascii="Times New Roman" w:hAnsi="Times New Roman"/>
        <w:sz w:val="24"/>
      </w:rPr>
      <w:fldChar w:fldCharType="begin"/>
    </w:r>
    <w:r>
      <w:rPr>
        <w:sz w:val="24"/>
        <w:rFonts w:ascii="Times New Roman" w:hAnsi="Times New Roman"/>
      </w:rPr>
      <w:instrText> PAGE </w:instrText>
    </w:r>
    <w:r>
      <w:rPr>
        <w:sz w:val="24"/>
        <w:rFonts w:ascii="Times New Roman" w:hAnsi="Times New Roman"/>
      </w:rPr>
      <w:fldChar w:fldCharType="separate"/>
    </w:r>
    <w:r>
      <w:rPr>
        <w:sz w:val="24"/>
        <w:rFonts w:ascii="Times New Roman" w:hAnsi="Times New Roman"/>
      </w:rPr>
      <w:t>10</w:t>
    </w:r>
    <w:r>
      <w:rPr>
        <w:sz w:val="24"/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4487d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f41ba0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semiHidden/>
    <w:unhideWhenUsed/>
    <w:qFormat/>
    <w:rsid w:val="00ae3fa5"/>
    <w:rPr>
      <w:sz w:val="16"/>
      <w:szCs w:val="16"/>
    </w:rPr>
  </w:style>
  <w:style w:type="character" w:styleId="Style13" w:customStyle="1">
    <w:name w:val="Текст примечания Знак"/>
    <w:link w:val="a4"/>
    <w:uiPriority w:val="99"/>
    <w:qFormat/>
    <w:rsid w:val="00ae3fa5"/>
    <w:rPr>
      <w:sz w:val="20"/>
      <w:szCs w:val="20"/>
    </w:rPr>
  </w:style>
  <w:style w:type="character" w:styleId="Style14" w:customStyle="1">
    <w:name w:val="Тема примечания Знак"/>
    <w:link w:val="a6"/>
    <w:uiPriority w:val="99"/>
    <w:semiHidden/>
    <w:qFormat/>
    <w:rsid w:val="00ae3fa5"/>
    <w:rPr>
      <w:b/>
      <w:bCs/>
      <w:sz w:val="20"/>
      <w:szCs w:val="20"/>
    </w:rPr>
  </w:style>
  <w:style w:type="character" w:styleId="Style15" w:customStyle="1">
    <w:name w:val="Текст выноски Знак"/>
    <w:link w:val="a8"/>
    <w:uiPriority w:val="99"/>
    <w:semiHidden/>
    <w:qFormat/>
    <w:rsid w:val="00ae3fa5"/>
    <w:rPr>
      <w:rFonts w:ascii="Tahoma" w:hAnsi="Tahoma" w:cs="Tahoma"/>
      <w:sz w:val="16"/>
      <w:szCs w:val="16"/>
    </w:rPr>
  </w:style>
  <w:style w:type="character" w:styleId="11pt" w:customStyle="1">
    <w:name w:val="Основной текст + 11 pt"/>
    <w:qFormat/>
    <w:rsid w:val="0096180f"/>
    <w:rPr>
      <w:rFonts w:ascii="Times New Roman" w:hAnsi="Times New Roman" w:cs="Times New Roman"/>
      <w:sz w:val="22"/>
      <w:szCs w:val="22"/>
      <w:u w:val="none"/>
    </w:rPr>
  </w:style>
  <w:style w:type="character" w:styleId="Style16" w:customStyle="1">
    <w:name w:val="Основной текст Знак"/>
    <w:link w:val="ac"/>
    <w:qFormat/>
    <w:rsid w:val="0096180f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7" w:customStyle="1">
    <w:name w:val="Верхний колонтитул Знак"/>
    <w:basedOn w:val="DefaultParagraphFont"/>
    <w:link w:val="af0"/>
    <w:uiPriority w:val="99"/>
    <w:qFormat/>
    <w:rsid w:val="007d489c"/>
    <w:rPr/>
  </w:style>
  <w:style w:type="character" w:styleId="Style18" w:customStyle="1">
    <w:name w:val="Нижний колонтитул Знак"/>
    <w:basedOn w:val="DefaultParagraphFont"/>
    <w:link w:val="af2"/>
    <w:uiPriority w:val="99"/>
    <w:qFormat/>
    <w:rsid w:val="007d489c"/>
    <w:rPr/>
  </w:style>
  <w:style w:type="character" w:styleId="Style19">
    <w:name w:val="Интернет-ссылка"/>
    <w:uiPriority w:val="99"/>
    <w:unhideWhenUsed/>
    <w:rsid w:val="003c4806"/>
    <w:rPr>
      <w:color w:val="0000FF"/>
      <w:u w:val="single"/>
    </w:rPr>
  </w:style>
  <w:style w:type="character" w:styleId="ConsPlusNormal" w:customStyle="1">
    <w:name w:val="ConsPlusNormal Знак"/>
    <w:link w:val="ConsPlusNormal0"/>
    <w:qFormat/>
    <w:locked/>
    <w:rsid w:val="00601784"/>
    <w:rPr>
      <w:rFonts w:ascii="Arial" w:hAnsi="Arial" w:eastAsia="Times New Roman" w:cs="Arial"/>
      <w:sz w:val="22"/>
      <w:szCs w:val="22"/>
      <w:lang w:val="ru-RU" w:eastAsia="en-US" w:bidi="ar-SA"/>
    </w:rPr>
  </w:style>
  <w:style w:type="character" w:styleId="Style20" w:customStyle="1">
    <w:name w:val="Основной текст_"/>
    <w:qFormat/>
    <w:rsid w:val="00e70513"/>
    <w:rPr>
      <w:rFonts w:ascii="Times New Roman" w:hAnsi="Times New Roman" w:cs="Times New Roman"/>
      <w:sz w:val="26"/>
      <w:szCs w:val="26"/>
      <w:u w:val="none"/>
    </w:rPr>
  </w:style>
  <w:style w:type="character" w:styleId="Style21">
    <w:name w:val="Выделение"/>
    <w:qFormat/>
    <w:rsid w:val="00cc153b"/>
    <w:rPr>
      <w:i/>
      <w:i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f41ba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character" w:styleId="Style22" w:customStyle="1">
    <w:name w:val="Текст Знак"/>
    <w:basedOn w:val="DefaultParagraphFont"/>
    <w:link w:val="af9"/>
    <w:uiPriority w:val="99"/>
    <w:semiHidden/>
    <w:qFormat/>
    <w:rsid w:val="00995c46"/>
    <w:rPr>
      <w:rFonts w:ascii="Consolas" w:hAnsi="Consolas" w:eastAsia="Calibri" w:cs="" w:cstheme="minorBidi" w:eastAsiaTheme="minorHAnsi"/>
      <w:sz w:val="21"/>
      <w:szCs w:val="21"/>
      <w:lang w:eastAsia="en-US"/>
    </w:rPr>
  </w:style>
  <w:style w:type="character" w:styleId="12" w:customStyle="1">
    <w:name w:val="Неразрешенное упоминание1"/>
    <w:basedOn w:val="DefaultParagraphFont"/>
    <w:uiPriority w:val="99"/>
    <w:semiHidden/>
    <w:unhideWhenUsed/>
    <w:qFormat/>
    <w:rsid w:val="00a82bf5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f514e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61722c"/>
    <w:rPr>
      <w:i/>
      <w:iCs/>
      <w:color w:val="404040" w:themeColor="text1" w:themeTint="bf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">
    <w:name w:val="ListLabel 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">
    <w:name w:val="ListLabel 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3">
    <w:name w:val="ListLabel 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8">
    <w:name w:val="ListLabel 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9">
    <w:name w:val="ListLabel 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0">
    <w:name w:val="ListLabel 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1">
    <w:name w:val="ListLabel 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">
    <w:name w:val="ListLabel 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">
    <w:name w:val="ListLabel 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">
    <w:name w:val="ListLabel 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5">
    <w:name w:val="ListLabel 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">
    <w:name w:val="ListLabel 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link w:val="ad"/>
    <w:rsid w:val="0096180f"/>
    <w:pPr>
      <w:spacing w:lineRule="auto" w:line="240" w:before="0" w:after="0"/>
      <w:jc w:val="both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a5"/>
    <w:uiPriority w:val="99"/>
    <w:unhideWhenUsed/>
    <w:qFormat/>
    <w:rsid w:val="00ae3fa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7"/>
    <w:uiPriority w:val="99"/>
    <w:semiHidden/>
    <w:unhideWhenUsed/>
    <w:qFormat/>
    <w:rsid w:val="00ae3fa5"/>
    <w:pPr/>
    <w:rPr>
      <w:b/>
      <w:bCs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ae3fa5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onsPlusCell" w:customStyle="1">
    <w:name w:val="ConsPlusCell"/>
    <w:uiPriority w:val="99"/>
    <w:qFormat/>
    <w:rsid w:val="00750870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Default" w:customStyle="1">
    <w:name w:val="Default"/>
    <w:qFormat/>
    <w:rsid w:val="008e493f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8" w:customStyle="1">
    <w:name w:val="Содержимое таблицы"/>
    <w:basedOn w:val="Normal"/>
    <w:qFormat/>
    <w:rsid w:val="00e771c5"/>
    <w:pPr>
      <w:widowControl w:val="false"/>
      <w:suppressLineNumbers/>
      <w:suppressAutoHyphens w:val="true"/>
      <w:spacing w:lineRule="auto" w:line="240" w:before="0" w:after="0"/>
      <w:textAlignment w:val="baseline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paragraph" w:styleId="Style29" w:customStyle="1">
    <w:name w:val="Знак Знак Знак"/>
    <w:basedOn w:val="Normal"/>
    <w:qFormat/>
    <w:rsid w:val="00b65714"/>
    <w:pPr>
      <w:spacing w:lineRule="auto" w:line="240" w:beforeAutospacing="1" w:afterAutospacing="1"/>
    </w:pPr>
    <w:rPr>
      <w:rFonts w:ascii="Tahoma" w:hAnsi="Tahoma" w:eastAsia="Times New Roman" w:cs="Tahoma"/>
      <w:sz w:val="20"/>
      <w:szCs w:val="20"/>
      <w:lang w:val="en-US"/>
    </w:rPr>
  </w:style>
  <w:style w:type="paragraph" w:styleId="13" w:customStyle="1">
    <w:name w:val="Знак Знак Знак1"/>
    <w:basedOn w:val="Normal"/>
    <w:qFormat/>
    <w:rsid w:val="0096180f"/>
    <w:pPr>
      <w:spacing w:lineRule="auto" w:line="240" w:beforeAutospacing="1" w:afterAutospacing="1"/>
    </w:pPr>
    <w:rPr>
      <w:rFonts w:ascii="Tahoma" w:hAnsi="Tahoma" w:eastAsia="Times New Roman" w:cs="Tahoma"/>
      <w:sz w:val="20"/>
      <w:szCs w:val="20"/>
      <w:lang w:val="en-US"/>
    </w:rPr>
  </w:style>
  <w:style w:type="paragraph" w:styleId="NoSpacing">
    <w:name w:val="No Spacing"/>
    <w:qFormat/>
    <w:rsid w:val="0096180f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Style30">
    <w:name w:val="Header"/>
    <w:basedOn w:val="Normal"/>
    <w:link w:val="af1"/>
    <w:uiPriority w:val="99"/>
    <w:unhideWhenUsed/>
    <w:rsid w:val="007d489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1">
    <w:name w:val="Footer"/>
    <w:basedOn w:val="Normal"/>
    <w:link w:val="af3"/>
    <w:uiPriority w:val="99"/>
    <w:unhideWhenUsed/>
    <w:rsid w:val="007d489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4" w:customStyle="1">
    <w:name w:val="Абзац списка1"/>
    <w:basedOn w:val="Normal"/>
    <w:qFormat/>
    <w:rsid w:val="003156db"/>
    <w:pPr>
      <w:spacing w:before="0" w:after="200"/>
      <w:ind w:left="720" w:hanging="0"/>
      <w:contextualSpacing/>
    </w:pPr>
    <w:rPr>
      <w:rFonts w:eastAsia="Times New Roman"/>
    </w:rPr>
  </w:style>
  <w:style w:type="paragraph" w:styleId="ConsPlusNormal1" w:customStyle="1">
    <w:name w:val="ConsPlusNormal"/>
    <w:link w:val="ConsPlusNormal"/>
    <w:qFormat/>
    <w:rsid w:val="00601784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f0047b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703bf4"/>
    <w:pPr>
      <w:spacing w:lineRule="auto" w:line="240" w:beforeAutospacing="1" w:afterAutospacing="1"/>
    </w:pPr>
    <w:rPr>
      <w:rFonts w:ascii="Times New Roman" w:hAnsi="Times New Roman" w:eastAsia="Calibri" w:eastAsiaTheme="minorHAnsi"/>
      <w:sz w:val="24"/>
      <w:szCs w:val="24"/>
      <w:lang w:eastAsia="ru-RU"/>
    </w:rPr>
  </w:style>
  <w:style w:type="paragraph" w:styleId="ConsPlusTitle" w:customStyle="1">
    <w:name w:val="ConsPlusTitle"/>
    <w:qFormat/>
    <w:rsid w:val="00b75977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zh-CN" w:bidi="ar-SA"/>
    </w:rPr>
  </w:style>
  <w:style w:type="paragraph" w:styleId="15" w:customStyle="1">
    <w:name w:val="Обычный1"/>
    <w:qFormat/>
    <w:rsid w:val="00b75977"/>
    <w:pPr>
      <w:widowControl/>
      <w:suppressAutoHyphens w:val="true"/>
      <w:overflowPunct w:val="false"/>
      <w:bidi w:val="0"/>
      <w:spacing w:lineRule="atLeast" w:line="200"/>
      <w:jc w:val="left"/>
    </w:pPr>
    <w:rPr>
      <w:rFonts w:ascii="Mangal" w:hAnsi="Mangal" w:eastAsia="Tahoma" w:cs="Liberation Sans"/>
      <w:color w:val="000000"/>
      <w:kern w:val="2"/>
      <w:sz w:val="36"/>
      <w:szCs w:val="24"/>
      <w:lang w:val="ru-RU" w:eastAsia="en-US" w:bidi="ar-SA"/>
    </w:rPr>
  </w:style>
  <w:style w:type="paragraph" w:styleId="2" w:customStyle="1">
    <w:name w:val="2"/>
    <w:basedOn w:val="Normal"/>
    <w:uiPriority w:val="99"/>
    <w:unhideWhenUsed/>
    <w:qFormat/>
    <w:rsid w:val="00eb74c5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6" w:customStyle="1">
    <w:name w:val="1"/>
    <w:basedOn w:val="Normal"/>
    <w:uiPriority w:val="99"/>
    <w:unhideWhenUsed/>
    <w:qFormat/>
    <w:rsid w:val="00da173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110" w:customStyle="1">
    <w:name w:val="Style1"/>
    <w:basedOn w:val="Normal"/>
    <w:uiPriority w:val="99"/>
    <w:qFormat/>
    <w:rsid w:val="00da173f"/>
    <w:pPr>
      <w:widowControl w:val="false"/>
      <w:spacing w:lineRule="exact" w:line="317" w:before="0" w:after="0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odyText21" w:customStyle="1">
    <w:name w:val="Body Text 21"/>
    <w:basedOn w:val="Normal"/>
    <w:qFormat/>
    <w:rsid w:val="006a1844"/>
    <w:pPr>
      <w:spacing w:lineRule="auto" w:line="240" w:before="0" w:after="0"/>
      <w:ind w:firstLine="720"/>
      <w:jc w:val="both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PlainText">
    <w:name w:val="Plain Text"/>
    <w:basedOn w:val="Normal"/>
    <w:link w:val="afa"/>
    <w:uiPriority w:val="99"/>
    <w:semiHidden/>
    <w:unhideWhenUsed/>
    <w:qFormat/>
    <w:rsid w:val="00995c46"/>
    <w:pPr>
      <w:spacing w:lineRule="auto" w:line="240" w:before="0" w:after="0"/>
    </w:pPr>
    <w:rPr>
      <w:rFonts w:ascii="Consolas" w:hAnsi="Consolas" w:eastAsia="Calibri" w:cs="" w:cstheme="minorBidi" w:eastAsiaTheme="minorHAnsi"/>
      <w:sz w:val="21"/>
      <w:szCs w:val="21"/>
    </w:rPr>
  </w:style>
  <w:style w:type="paragraph" w:styleId="17" w:customStyle="1">
    <w:name w:val="Без интервала1"/>
    <w:qFormat/>
    <w:rsid w:val="00821bd4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Style32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96180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4D0A-CF14-4723-B2A0-A701B16D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Application>LibreOffice/6.0.4.2$Windows_X86_64 LibreOffice_project/9b0d9b32d5dcda91d2f1a96dc04c645c450872bf</Application>
  <Pages>10</Pages>
  <Words>2013</Words>
  <Characters>14938</Characters>
  <CharactersWithSpaces>16932</CharactersWithSpaces>
  <Paragraphs>194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2019-12-02T14:32:00Z</dcterms:created>
  <dc:creator>Сухорукова Виктория</dc:creator>
  <dc:description/>
  <dc:language>ru-RU</dc:language>
  <cp:lastModifiedBy/>
  <cp:lastPrinted>2020-01-29T15:16:37Z</cp:lastPrinted>
  <dcterms:modified xsi:type="dcterms:W3CDTF">2021-02-09T12:09:38Z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