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36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ПРЕДСТАВИТЕЛЬНОЕ СОБРАНИЕ</w:t>
      </w:r>
    </w:p>
    <w:p>
      <w:pPr>
        <w:pStyle w:val="Normal"/>
        <w:spacing w:lineRule="auto" w:line="36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МАНТУРОВСКОГО РАЙОНА КУРСКОЙ ОБЛАСТИ</w:t>
      </w:r>
    </w:p>
    <w:p>
      <w:pPr>
        <w:pStyle w:val="Normal"/>
        <w:spacing w:lineRule="auto" w:line="36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ЧЕТВЕРТОГО СОЗЫВА</w:t>
      </w:r>
    </w:p>
    <w:p>
      <w:pPr>
        <w:pStyle w:val="Normal"/>
        <w:spacing w:lineRule="auto" w:line="36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32"/>
          <w:szCs w:val="32"/>
          <w:lang w:eastAsia="ru-RU"/>
        </w:rPr>
      </w:r>
    </w:p>
    <w:p>
      <w:pPr>
        <w:pStyle w:val="Normal"/>
        <w:spacing w:lineRule="auto" w:line="36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от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27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 xml:space="preserve"> августа 2020 года №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single"/>
          <w:lang w:eastAsia="ru-RU"/>
        </w:rPr>
        <w:t>76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/>
          <w:lang w:eastAsia="ru-RU"/>
        </w:rPr>
        <w:t>307000, Курская обл., с. Мантурово, ул. Ленина, 13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0"/>
          <w:szCs w:val="20"/>
          <w:u w:val="none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u w:val="none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Об установлении размера платы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за пользование жилым помещением (платы за наем)</w:t>
      </w:r>
    </w:p>
    <w:p>
      <w:pPr>
        <w:pStyle w:val="Normal"/>
        <w:spacing w:lineRule="auto" w:line="240" w:before="0" w:after="0"/>
        <w:ind w:firstLine="539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В соответствии с Жилищным кодексом Российской Федерации, Федеральными законами от 6 октября 2003 года № 131-ФЗ «Об общих принципах организации местного самоуправления в Российской Федерации» и от 3 июня 2009 года № 103-ФЗ «О деятельности по приему платежей физических лиц, осуществляемой платежными агентами», приказом Министерства строительства и жилищно-коммунального хозяйства Российской Федерации от 27 сентября 2016 года № 668/пр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фонда», Уставом муниципального района «Мантуровский район» Курской области,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Представительное Собрание Мантуровского района Курской области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РЕШИЛО: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 Утвердить Положение о порядке начисления и сбора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согласно приложению 1.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Установить размер платы за пользование жилым помещением (платы за наем) для нанимателей жилых помещений по договорам найма жилых помещений муниципального жилищного фонда согласно приложению 2.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Плата за пользование жилым помещением (плата за наем) муниципального жилищного фонда подлежит зачислению в бюджет  района в полном объеме.</w:t>
      </w:r>
    </w:p>
    <w:p>
      <w:pPr>
        <w:pStyle w:val="Normal"/>
        <w:spacing w:lineRule="auto" w:line="240" w:before="0" w:after="0"/>
        <w:ind w:firstLine="539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 Настоящее решение подлежит официальному опубликованию в 10-дневный срок в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Информационном бюллетене Мантуровского района и размещению в информационно-коммуникационной сети Интернет на официальном сайте муниципального района «Мантуровский район» Курской области (по адресу: http://man.rkursk.ru).</w:t>
      </w:r>
    </w:p>
    <w:p>
      <w:pPr>
        <w:pStyle w:val="Normal"/>
        <w:spacing w:lineRule="auto" w:line="240" w:before="0" w:after="0"/>
        <w:ind w:firstLine="539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 Решение вступает в силу с момента опубликования.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Председатель Представительного Собрания</w:t>
      </w:r>
    </w:p>
    <w:p>
      <w:pPr>
        <w:pStyle w:val="Normal"/>
        <w:spacing w:lineRule="auto" w:line="240" w:before="0" w:after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Мантуровского района Курской области </w:t>
        <w:tab/>
        <w:tab/>
        <w:tab/>
        <w:tab/>
        <w:t xml:space="preserve">     Н.В.Токарева</w:t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И.о. Главы Мантуровского районаКурской области,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Мантуровского района Курской области                                   В.С. Коровина</w:t>
      </w:r>
    </w:p>
    <w:p>
      <w:pPr>
        <w:pStyle w:val="Normal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 №1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решению Представительного Собрания 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27 августа 2020 г.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76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Положение</w:t>
        <w:br/>
      </w:r>
      <w:r>
        <w:rPr>
          <w:rFonts w:eastAsia="Times New Roman" w:cs="Times New Roman" w:ascii="Times New Roman" w:hAnsi="Times New Roman"/>
          <w:b/>
          <w:bCs/>
          <w:iCs/>
          <w:color w:val="000000"/>
          <w:sz w:val="28"/>
          <w:szCs w:val="28"/>
          <w:lang w:eastAsia="ru-RU"/>
        </w:rPr>
        <w:t xml:space="preserve">о порядке начисления и сбора платы за пользование жилым помещением (платы за наем)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для нанимателей жилых помещений по договорам социального найма и договорам найма жилых помещений муниципального жилищного фонда 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1.1. Настоящее Положение разработано в соответствии с главой 35 Гражданского кодекса Российской Федерации, статьями 153, 154, 155, 156 Жилищного кодекса Российской Федерации, статьями 41, 42, 160.1 Бюджетного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Постановлением Администрации Курской  области от 18.12.2019 г. № 1286-па  «Об установлении на территории Курской области минимального размера взноса на капитальный ремонт общего имущества в многоквартирном доме на 2020 год»,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Устава муниципального района «Мантуровский район» Курской области, приказа Министерства строительства и жилищно-коммунального хозяйства Российской Федерации от 27 сентября 2016 г. № 668/пр (ред. от 19.06.2017)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фонда», в целях рационального использования муниципального имущества и создания единой системы определения, начисления и сбора платы за пользование жилым помещением (платы за наем), взыскания и перечисления в бюджет муниципального района «Мантуровский район» Курской области (далее - бюджет муниципального образования) платы граждан за пользование (наем) жилыми помещениями муниципального жилищного фонда, занимаемыми по договорам социального найма и договорам найма жилых помещений муниципального жилищного фонда (далее - плата за наем).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1.2. Основные понятия, используемые в настоящем Положении: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плата за наем – это плата за пользование жилыми помещениями для нанимателей, занимаемыми по договорам социального найма и договорам найма жилых помещений муниципального жилищного фонда;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муниципальный жилищный фонд – совокупность жилых помещений, принадлежащих на праве собственности муниципальному району «Мантуровский район» Курской области;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наймодатель – собственник жилого помещения муниципального жилищного фонда - орган местного самоуправления, либо уполномоченное им лицо, передающее гражданину (нанимателю) жилое помещение во владение и в пользование для проживания в нем на условиях, установленных Жилищным кодексом Российской Федерации.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1.3 Денежные средства, вносимые нанимателями жилых помещений муниципального жилищного фонда в виде платы за наем, являются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неналоговым доходом бюджета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используются по назначению на проведение капитальных ремонтов, реконструкцию и модернизацию муниципального жилищного фонда, разработку проектной документации для капитального ремонта многоквартирных домов и проведение государственной экспертизы такой документации в соответствии с законодательством Российской Федерации о градостроительной деятельности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1.4. Главным администратором неналоговых доходов бюджета муниципального образования в отношении поступления платы за наем жилого помещения муниципального жилищного фонда является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Администрация Мантуровского района Курской области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(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далее </w:t>
      </w: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–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Администрация).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1.5. Все вопросы, не урегулированные настоящим Положением, регулируются действующим законодательством Российской Федерации, договорными отношениями и внутренними документами Администрации.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2. ПОРЯДОК НАЧИСЛЕНИЯ ПЛАТЫ ЗА НАЕМ.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2.1.  Плата за наем входит в структуру платы за жилое помещение и коммунальные услуги и начисляется в виде отдельного платежа.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2.2.  Плата за наем начисляется гражданам, проживающим в жилых помещениях муниципального жилищного фонда по договорам социального найма и договорам найма жилого помещения.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2.3. Экономическое содержание платы за наем состоит в компенсации инвестиционных затрат собственника на строительство и реконструкцию, капитальный ремонт жилищного фонда, используемого для предоставления гражданам по договорам социального найма и договорам найма жилых помещений.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2.4. Ставки платы за наем не включают в себя комиссионное вознаграждение, взимаемое банками и платежными системами за услуги по приему данного платежа.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2.5. 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качества и благоустройства жилого помещения, месторасположения дома.</w:t>
      </w:r>
    </w:p>
    <w:p>
      <w:pPr>
        <w:pStyle w:val="Normal"/>
        <w:spacing w:lineRule="auto" w:line="240"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2.6. При установлении размера платы за наем жилого помещения учтены положения </w:t>
      </w:r>
      <w:hyperlink r:id="rId2">
        <w:r>
          <w:rPr>
            <w:rFonts w:eastAsia="Times New Roman" w:cs="Times New Roman" w:ascii="Times New Roman" w:hAnsi="Times New Roman"/>
            <w:color w:val="000000"/>
            <w:sz w:val="28"/>
            <w:szCs w:val="28"/>
            <w:lang w:eastAsia="ru-RU"/>
          </w:rPr>
          <w:t>части 5 статьи 156</w:t>
        </w:r>
      </w:hyperlink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Жилищного кодекса, согласно которым установление размера платы за пользование жилым помещением (платы за наем жилого помещения) не должно приводить к возникновению у нанимателя жилого помещения права на субсидию на оплату жилого помещения и коммунальных услуг.     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2.7.  Плата за наем не взимается с граждан, проживающих в жилых помещениях, признанных в установленном порядке непригодными для проживания и (или) многоквартирных домах признанных аварийными и подлежащими сносу или реконструкции.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2.8. Граждане, признанные в установленном порядке малоимущими гражданами и занимающие жилые помещения по договорам социального найма, и граждане, у которых размер платы за пользование жилым помещением (платы за наем) приводит к возникновению права на субсидию на оплату жилого помещения и коммунальных услуг, освобождаются от внесения платы за пользование жилым помещением (платы за наем). 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2.9. При предоставлении нанимателем заявления и документов, подтверждающих льготный статус, плата за наем жилых помещений по договорам социального найма и договорам найма жилых помещений муниципального жилищного фонда Администрации не взимается с: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- инвалидов I и II группы, а также семей, имеющих детей-инвалидов, в соответствии с действующим законодательством;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- малоимущих граждан, признанных таковыми органом местного самоуправления в порядке, установленном законом Курской области;</w:t>
      </w:r>
    </w:p>
    <w:p>
      <w:pPr>
        <w:pStyle w:val="Consplusnormal"/>
        <w:spacing w:beforeAutospacing="0" w:before="0" w:afterAutospacing="0" w:after="0"/>
        <w:contextualSpacing/>
        <w:jc w:val="both"/>
        <w:rPr>
          <w:color w:val="000000"/>
        </w:rPr>
      </w:pPr>
      <w:r>
        <w:rPr>
          <w:color w:val="000000"/>
          <w:sz w:val="28"/>
          <w:szCs w:val="28"/>
        </w:rPr>
        <w:t>- граждан, проживающих в жилых помещениях, признанных в установленном порядке непригодными для проживания, и (или) многоквартирных домах, признанных аварийными и подлежащими сносу или реконструкции.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hanging="0"/>
        <w:contextualSpacing/>
        <w:jc w:val="center"/>
        <w:outlineLvl w:val="1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3.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РАЗМЕР ПЛАТЫ ЗА НАЕМ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 ЖИЛОГО ПОМЕЩЕНИЯ 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3.1.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фонда, определяется по формуле: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= 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x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x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x 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где: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коэффициент соответствия платы;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val="en-US" w:eastAsia="ru-RU"/>
        </w:rPr>
        <w:t>j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общая площадь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3.2. Величина коэффициента соответствия платы (К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) устанавливается для всех граждан, проживающих в Мантуровском районе Курской области, и составляет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0,202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3.3. Базовый размер платы за наем жилого помещения определяется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= СР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x 0,001, где: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базовый размер платы за наем жилого помещения;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СР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средняя цена 1 кв. м на вторичном рынке жилья в Курской области.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3.4. Средняя цена 1 кв.м на вторичном рынке жилья в Курской области,  определяется по актуальным данным Федеральной службы государственной статистики, которые размещаются в свободном    доступе  в Единой межведомственной информационно-статистической   системе (ЕМИСС).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В случае отсутствия указанной информации по Курской области                   используется средняя цена 1 кв. м. общей площади квартир на вторичном рынке жилья по центральному федеральному округу. 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0" w:firstLine="708"/>
        <w:contextualSpacing/>
        <w:jc w:val="both"/>
        <w:outlineLvl w:val="1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3.5. Коэффициент, характеризующий качество и благоустройство жилого помещения, месторасположение дома (К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</w:t>
      </w:r>
    </w:p>
    <w:p>
      <w:pPr>
        <w:pStyle w:val="Normal"/>
        <w:widowControl w:val="false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дома:</w:t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tbl>
      <w:tblPr>
        <w:tblW w:w="9134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2046"/>
        <w:gridCol w:w="4960"/>
        <w:gridCol w:w="2128"/>
      </w:tblGrid>
      <w:tr>
        <w:trPr/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Коэффициенты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Потребительские свойства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Значение коэффициента</w:t>
            </w:r>
          </w:p>
        </w:tc>
      </w:tr>
      <w:tr>
        <w:trPr/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3</w:t>
            </w:r>
          </w:p>
        </w:tc>
      </w:tr>
      <w:tr>
        <w:trPr/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Показатели качества жилого помещения (К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vertAlign w:val="subscript"/>
              </w:rPr>
              <w:t>1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Материал стен: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</w:tr>
      <w:tr>
        <w:trPr/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кирпичные, каменные, монолитные;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1,3</w:t>
            </w:r>
          </w:p>
        </w:tc>
      </w:tr>
      <w:tr>
        <w:trPr/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9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крупнопанельные, блочные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1,1</w:t>
            </w:r>
          </w:p>
        </w:tc>
      </w:tr>
      <w:tr>
        <w:trPr/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Показатели благоустройства (К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vertAlign w:val="subscript"/>
              </w:rPr>
              <w:t>2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Многоквартирные дома, имеющие все виды благоустройства (с централизованным  холодным водоснабжением, отоплением и системой водоотведения);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1,0</w:t>
            </w:r>
          </w:p>
        </w:tc>
      </w:tr>
      <w:tr>
        <w:trPr/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многоквартирные дома, имеющие не все виды благоустройства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0,9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i/>
                <w:i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</w:r>
          </w:p>
        </w:tc>
      </w:tr>
      <w:tr>
        <w:trPr>
          <w:trHeight w:val="438" w:hRule="atLeast"/>
        </w:trPr>
        <w:tc>
          <w:tcPr>
            <w:tcW w:w="2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Показатели месторасположения (К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  <w:vertAlign w:val="subscript"/>
              </w:rPr>
              <w:t>3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 xml:space="preserve">с. Мантурово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1,2</w:t>
            </w:r>
          </w:p>
        </w:tc>
      </w:tr>
      <w:tr>
        <w:trPr>
          <w:trHeight w:val="488" w:hRule="atLeast"/>
        </w:trPr>
        <w:tc>
          <w:tcPr>
            <w:tcW w:w="20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8"/>
              </w:rPr>
              <w:t xml:space="preserve">с. Сейм 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8"/>
              </w:rPr>
              <w:t>1,0</w:t>
            </w:r>
          </w:p>
        </w:tc>
      </w:tr>
    </w:tbl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Конкретному жилому помещению соответствует лишь одно из значений каждого из показателей качества и благоустройства жилого помещения, месторасположения дома.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Коэффициент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, характеризующий качество и благоустройство жилого помещения, месторасположения дома определяется по формуле: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с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= (К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+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+ 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) / 3, где:</w:t>
      </w:r>
    </w:p>
    <w:p>
      <w:pPr>
        <w:pStyle w:val="Normal"/>
        <w:widowControl w:val="false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коэффициент, характеризующий качество жилого помещения;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коэффициент, характеризующий благоустройство жилого помещения;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- коэффициент, характеризующий месторасположение дома.</w:t>
      </w:r>
    </w:p>
    <w:p>
      <w:pPr>
        <w:pStyle w:val="Normal"/>
        <w:widowControl w:val="false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4. ПОРЯДОК ВНЕСЕНИЯ, ПЕРЕЧИСЛЕНИЯ ПЛАТЫ ЗА НАЕМ.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4.1.  Обязанность по внесению платы за наем возникает у нанимателя жилого помещения с момента заключения договора  найма и прекращается с его расторжением.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4.2. Начисление платы за наем производится в соответствии с действующим законодательством и настоящим Положением.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4.3. Наймодатель на основании договора социального найма или договора найма жилого помещения ежемесячно производит начисление платы за наем в соответствии с настоящим Положением.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4.4. Плата за наем жилого помещения вносится нанимателем жилого помещения ежемесячно до десятого числа месяца, следующего за истекшим месяцем, если иной срок не установлен договором.  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4.5. Наниматель вносит плату за наем жилого помещения в бюджет муниципального района «Мантуровский район» Курской области в соответствии с бюджетной классификацией Российской Федерации.</w:t>
      </w:r>
    </w:p>
    <w:p>
      <w:pPr>
        <w:pStyle w:val="Normal"/>
        <w:spacing w:lineRule="auto" w:line="240" w:before="0" w:after="0"/>
        <w:ind w:firstLine="54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1875" w:hanging="0"/>
        <w:contextualSpacing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5. НАЧИСЛЕНИЕ ПЕНЕЙ И ВЗЫСКАНИЕ ЗАДОЛЖЕННОСТИ ПО ПЛАТЕ ЗА НАЕМ</w:t>
      </w:r>
    </w:p>
    <w:p>
      <w:pPr>
        <w:pStyle w:val="ListParagraph"/>
        <w:spacing w:lineRule="auto" w:line="240" w:before="0" w:after="0"/>
        <w:ind w:left="1875" w:hanging="0"/>
        <w:contextualSpacing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5.1.  Нанимателям, несвоевременно и (или) не полностью внесшим плату за наем, наймодатель начисляет пени в размере одной трехсотой ставки рефинансирования Центрального банка Российской Федерации, действующей на момент оплаты,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5.2.  В случае невнесения нанимателем платы за наем в течение более трёх месяцев, наймодатель на основании Договора производят взыскание с нанимателей задолженности по плате за наем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5.3.  Неиспользование нанимателями помещений не является основанием невнесения платы за наем.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5.4.  Наймодатель на основании Договора, обеспечивает ведение претензионной и исковой работы по взысканию задолженности по оплате за наем и пеней.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5.5.  Взысканные в соответствии с действующим законодательством Российской Федерации денежные средства, в счёт погашения задолженности нанимателей по плате за наем жилых помещений, а так же пени, подлежат зачислению в бюджет муниципального района «Мантуровский район» Курской области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6. ПОСТУПЛЕНИЕ И ЦЕЛЕВОЕ ИСПОЛЬЗОВАНИЕ СРЕДСТВ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6.1 Главным администратором неналоговых доходов бюджета в отношении поступления платы за наём жилого помещения является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Администрация. 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существляет организацию начисления и сбора платы за наём, являющейся неналоговым источником дохода бюджета, а также осуществляет контроль над правильностью начисления, полнотой и своевременностью уплаты, учета, сбора, взыскания платы за наём, принимает решение о возврате излишне уплаченных, взысканных платежей.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6.2. Денежные средства, являющиеся неналоговыми доходами бюджета, вносимые нанимателем жилого помещения в виде платы за наём, зачисляются в бюджет по коду </w:t>
      </w: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  <w:t>дохода 001 1 11 09045 13 0000 120: «Прочие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 для их аккумуляции и использования по целевому назначению на проведение капитального ремонта, реконструкции и модернизации жилищного фонда.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 w:val="false"/>
          <w:iCs w:val="false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7. КОНТРОЛЬ ЗА СОБЛЮДЕНИЕМ НАСТОЯЩЕГО ПОЛОЖЕНИЯ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7.1. Наймодатель обязан информировать в письменной форме нанимателей жилых помещений об изменении размера платы за наем не позднее, чем за тридцать дней до даты представления платежных документов, на основании которых будет вноситься плата за наем в ином размере, если иной срок не установлен договором.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7.2.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осуществляет следующие полномочия в отношении нанимателя: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контроль за своевременностью и полнотой внесения платы за наем,</w:t>
      </w:r>
    </w:p>
    <w:p>
      <w:pPr>
        <w:pStyle w:val="Normal"/>
        <w:spacing w:lineRule="auto" w:line="240" w:before="0" w:after="0"/>
        <w:contextualSpacing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- ведение претензионной и исковой работы по взысканию задолженности по оплате за наем и пени.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Приложение 2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к решению Представительного Собрания </w:t>
      </w:r>
    </w:p>
    <w:p>
      <w:pPr>
        <w:pStyle w:val="Normal"/>
        <w:tabs>
          <w:tab w:val="clear" w:pos="709"/>
          <w:tab w:val="left" w:pos="6195" w:leader="none"/>
          <w:tab w:val="right" w:pos="9128" w:leader="none"/>
        </w:tabs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Мантуровского района Курской области</w:t>
        <w:br/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от 27 августа 2020 г.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№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76</w:t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right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 xml:space="preserve">Размер платы за пользование жилым помещением </w:t>
      </w:r>
    </w:p>
    <w:p>
      <w:pPr>
        <w:pStyle w:val="Normal"/>
        <w:spacing w:lineRule="auto" w:line="240" w:before="0" w:after="0"/>
        <w:contextualSpacing/>
        <w:jc w:val="center"/>
        <w:rPr>
          <w:b/>
          <w:b/>
          <w:bCs/>
          <w:color w:val="000000"/>
          <w:sz w:val="32"/>
          <w:szCs w:val="32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32"/>
          <w:szCs w:val="32"/>
          <w:lang w:eastAsia="ru-RU"/>
        </w:rPr>
        <w:t>(платы за наем)</w:t>
      </w:r>
    </w:p>
    <w:p>
      <w:pPr>
        <w:pStyle w:val="Normal"/>
        <w:spacing w:lineRule="auto" w:line="240" w:before="0" w:after="0"/>
        <w:contextualSpacing/>
        <w:jc w:val="right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(руб./кв. М)</w:t>
      </w:r>
    </w:p>
    <w:tbl>
      <w:tblPr>
        <w:tblW w:w="8959" w:type="dxa"/>
        <w:jc w:val="left"/>
        <w:tblInd w:w="268" w:type="dxa"/>
        <w:tblCellMar>
          <w:top w:w="15" w:type="dxa"/>
          <w:left w:w="149" w:type="dxa"/>
          <w:bottom w:w="15" w:type="dxa"/>
          <w:right w:w="149" w:type="dxa"/>
        </w:tblCellMar>
        <w:tblLook w:firstRow="1" w:noVBand="1" w:lastRow="0" w:firstColumn="1" w:lastColumn="0" w:noHBand="0" w:val="04a0"/>
      </w:tblPr>
      <w:tblGrid>
        <w:gridCol w:w="1814"/>
        <w:gridCol w:w="1581"/>
        <w:gridCol w:w="1477"/>
        <w:gridCol w:w="1987"/>
        <w:gridCol w:w="2100"/>
      </w:tblGrid>
      <w:tr>
        <w:trPr/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Месторасположение</w:t>
              <w:br/>
              <w:t xml:space="preserve">МКД 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МКД, имеющие все виды благоустройства (с централизованным горячим, холодным водоснабжением, отоплением и системой водоотведения)</w:t>
            </w:r>
          </w:p>
        </w:tc>
        <w:tc>
          <w:tcPr>
            <w:tcW w:w="4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МКД, имеющие не все виды благоустройства </w:t>
            </w:r>
          </w:p>
        </w:tc>
      </w:tr>
      <w:tr>
        <w:trPr/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кирпичными, каменными, монолитными стенами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крупнопанельными, блочными стенами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кирпичными, каменными, монолитными стенами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 крупнопанельными, блочными стенами 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с. Мантурово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>
        <w:trPr/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с. Сейм 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5" w:type="dxa"/>
              <w:right w:w="15" w:type="dxa"/>
            </w:tcMar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color w:val="00000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8,9</w:t>
            </w:r>
          </w:p>
        </w:tc>
      </w:tr>
    </w:tbl>
    <w:p>
      <w:pPr>
        <w:pStyle w:val="Normal"/>
        <w:spacing w:lineRule="auto" w:line="240" w:before="0" w:after="0"/>
        <w:ind w:left="4111" w:hanging="0"/>
        <w:contextualSpacing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531" w:right="124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81864"/>
    <w:rPr>
      <w:color w:val="000080"/>
      <w:u w:val="single"/>
    </w:rPr>
  </w:style>
  <w:style w:type="character" w:styleId="Style15" w:customStyle="1">
    <w:name w:val="Текст сноски Знак"/>
    <w:basedOn w:val="DefaultParagraphFont"/>
    <w:link w:val="a5"/>
    <w:uiPriority w:val="99"/>
    <w:semiHidden/>
    <w:qFormat/>
    <w:rsid w:val="00271c6f"/>
    <w:rPr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271c6f"/>
    <w:rPr>
      <w:vertAlign w:val="superscript"/>
    </w:rPr>
  </w:style>
  <w:style w:type="character" w:styleId="Style17" w:customStyle="1">
    <w:name w:val="Верхний колонтитул Знак"/>
    <w:basedOn w:val="DefaultParagraphFont"/>
    <w:link w:val="a9"/>
    <w:uiPriority w:val="99"/>
    <w:qFormat/>
    <w:rsid w:val="00ec18a1"/>
    <w:rPr/>
  </w:style>
  <w:style w:type="character" w:styleId="Style18" w:customStyle="1">
    <w:name w:val="Нижний колонтитул Знак"/>
    <w:basedOn w:val="DefaultParagraphFont"/>
    <w:link w:val="ab"/>
    <w:uiPriority w:val="99"/>
    <w:qFormat/>
    <w:rsid w:val="00ec18a1"/>
    <w:rPr/>
  </w:style>
  <w:style w:type="character" w:styleId="WW8Num3z0">
    <w:name w:val="WW8Num3z0"/>
    <w:qFormat/>
    <w:rPr>
      <w:rFonts w:ascii="Arial" w:hAnsi="Arial" w:eastAsia="Arial"/>
      <w:sz w:val="21"/>
      <w:szCs w:val="21"/>
    </w:rPr>
  </w:style>
  <w:style w:type="character" w:styleId="WW8Num4z0">
    <w:name w:val="WW8Num4z0"/>
    <w:qFormat/>
    <w:rPr/>
  </w:style>
  <w:style w:type="character" w:styleId="6">
    <w:name w:val="Основной шрифт абзаца6"/>
    <w:qFormat/>
    <w:rPr/>
  </w:style>
  <w:style w:type="character" w:styleId="5">
    <w:name w:val="Основной шрифт абзаца5"/>
    <w:qFormat/>
    <w:rPr/>
  </w:style>
  <w:style w:type="character" w:styleId="WW8Num5z0">
    <w:name w:val="WW8Num5z0"/>
    <w:qFormat/>
    <w:rPr>
      <w:rFonts w:ascii="Arial" w:hAnsi="Arial" w:eastAsia="Arial"/>
      <w:sz w:val="21"/>
      <w:szCs w:val="21"/>
    </w:rPr>
  </w:style>
  <w:style w:type="character" w:styleId="4">
    <w:name w:val="Основной шрифт абзаца4"/>
    <w:qFormat/>
    <w:rPr/>
  </w:style>
  <w:style w:type="character" w:styleId="3">
    <w:name w:val="Основной шрифт абзаца3"/>
    <w:qFormat/>
    <w:rPr/>
  </w:style>
  <w:style w:type="character" w:styleId="WW8Num6z0">
    <w:name w:val="WW8Num6z0"/>
    <w:qFormat/>
    <w:rPr>
      <w:rFonts w:ascii="Times New Roman" w:hAnsi="Times New Roman" w:eastAsia="Times New Roman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Arial" w:hAnsi="Arial" w:eastAsia="Arial"/>
      <w:color w:val="000000"/>
      <w:sz w:val="21"/>
      <w:szCs w:val="21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>
      <w:rFonts w:ascii="Times New Roman" w:hAnsi="Times New Roman" w:eastAsia="Times New Roman"/>
    </w:rPr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>
      <w:rFonts w:ascii="Arial" w:hAnsi="Arial" w:eastAsia="Arial"/>
      <w:sz w:val="21"/>
      <w:szCs w:val="21"/>
    </w:rPr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>
      <w:rFonts w:ascii="Arial" w:hAnsi="Arial" w:eastAsia="Arial"/>
      <w:sz w:val="21"/>
      <w:szCs w:val="21"/>
    </w:rPr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Style19">
    <w:name w:val="Знак Знак"/>
    <w:qFormat/>
    <w:rPr>
      <w:rFonts w:ascii="Courier New" w:hAnsi="Courier New" w:eastAsia="Courier New"/>
      <w:lang w:eastAsia="ar-SA"/>
    </w:rPr>
  </w:style>
  <w:style w:type="character" w:styleId="41">
    <w:name w:val="Знак Знак4"/>
    <w:qFormat/>
    <w:rPr>
      <w:rFonts w:ascii="Courier New" w:hAnsi="Courier New" w:eastAsia="Courier New"/>
      <w:lang w:eastAsia="ar-SA"/>
    </w:rPr>
  </w:style>
  <w:style w:type="character" w:styleId="1">
    <w:name w:val="Знак Знак1"/>
    <w:qFormat/>
    <w:rPr/>
  </w:style>
  <w:style w:type="character" w:styleId="11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20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1864"/>
    <w:pPr>
      <w:spacing w:beforeAutospacing="1" w:after="142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dfootnote" w:customStyle="1">
    <w:name w:val="sdfootnote"/>
    <w:basedOn w:val="Normal"/>
    <w:qFormat/>
    <w:rsid w:val="00681864"/>
    <w:pPr>
      <w:spacing w:lineRule="auto" w:line="240" w:beforeAutospacing="1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6">
    <w:name w:val="Footnote Text"/>
    <w:basedOn w:val="Normal"/>
    <w:link w:val="a6"/>
    <w:uiPriority w:val="99"/>
    <w:semiHidden/>
    <w:unhideWhenUsed/>
    <w:rsid w:val="00271c6f"/>
    <w:pPr>
      <w:spacing w:lineRule="auto" w:line="240" w:before="0" w:after="0"/>
    </w:pPr>
    <w:rPr>
      <w:sz w:val="20"/>
      <w:szCs w:val="20"/>
    </w:rPr>
  </w:style>
  <w:style w:type="paragraph" w:styleId="Formattext" w:customStyle="1">
    <w:name w:val="formattext"/>
    <w:basedOn w:val="Normal"/>
    <w:qFormat/>
    <w:rsid w:val="00e4748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c18a1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basedOn w:val="Normal"/>
    <w:qFormat/>
    <w:rsid w:val="00ec18a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link w:val="aa"/>
    <w:uiPriority w:val="99"/>
    <w:unhideWhenUsed/>
    <w:rsid w:val="00ec18a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c"/>
    <w:uiPriority w:val="99"/>
    <w:unhideWhenUsed/>
    <w:rsid w:val="00ec18a1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61">
    <w:name w:val="Указатель6"/>
    <w:basedOn w:val="Normal"/>
    <w:qFormat/>
    <w:pPr/>
    <w:rPr>
      <w:rFonts w:eastAsia="Arial"/>
      <w:lang w:eastAsia="ar-SA"/>
    </w:rPr>
  </w:style>
  <w:style w:type="paragraph" w:styleId="42">
    <w:name w:val="Название объекта4"/>
    <w:basedOn w:val="Normal"/>
    <w:qFormat/>
    <w:pPr>
      <w:spacing w:before="120" w:after="120"/>
    </w:pPr>
    <w:rPr>
      <w:rFonts w:eastAsia="Arial"/>
      <w:i/>
      <w:iCs/>
      <w:lang w:eastAsia="ar-SA"/>
    </w:rPr>
  </w:style>
  <w:style w:type="paragraph" w:styleId="51">
    <w:name w:val="Указатель5"/>
    <w:basedOn w:val="Normal"/>
    <w:qFormat/>
    <w:pPr/>
    <w:rPr>
      <w:rFonts w:eastAsia="Arial"/>
      <w:lang w:eastAsia="ar-SA"/>
    </w:rPr>
  </w:style>
  <w:style w:type="paragraph" w:styleId="31">
    <w:name w:val="Название объекта3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43">
    <w:name w:val="Указатель4"/>
    <w:basedOn w:val="Normal"/>
    <w:qFormat/>
    <w:pPr/>
    <w:rPr>
      <w:rFonts w:eastAsia="Arial"/>
      <w:lang w:eastAsia="ar-SA"/>
    </w:rPr>
  </w:style>
  <w:style w:type="paragraph" w:styleId="21">
    <w:name w:val="Название объекта2"/>
    <w:qFormat/>
    <w:pPr>
      <w:keepNext w:val="true"/>
      <w:widowControl w:val="false"/>
      <w:suppressAutoHyphens w:val="true"/>
      <w:bidi w:val="0"/>
      <w:spacing w:before="240" w:after="120"/>
      <w:jc w:val="center"/>
    </w:pPr>
    <w:rPr>
      <w:rFonts w:ascii="Arial" w:hAnsi="Arial" w:eastAsia="Arial" w:cs="Liberation Serif"/>
      <w:b/>
      <w:bCs/>
      <w:color w:val="auto"/>
      <w:kern w:val="2"/>
      <w:sz w:val="56"/>
      <w:szCs w:val="56"/>
      <w:lang w:val="ru-RU" w:eastAsia="hi-IN" w:bidi="ar-SA"/>
    </w:rPr>
  </w:style>
  <w:style w:type="paragraph" w:styleId="32">
    <w:name w:val="Указатель3"/>
    <w:basedOn w:val="Normal"/>
    <w:qFormat/>
    <w:pPr/>
    <w:rPr>
      <w:rFonts w:eastAsia="Mangal"/>
      <w:lang w:eastAsia="ar-SA"/>
    </w:rPr>
  </w:style>
  <w:style w:type="paragraph" w:styleId="12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ConsPlusNonformat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311">
    <w:name w:val="Основной текст 31"/>
    <w:basedOn w:val="Normal"/>
    <w:qFormat/>
    <w:pPr>
      <w:suppressAutoHyphens w:val="false"/>
      <w:jc w:val="both"/>
    </w:pPr>
    <w:rPr>
      <w:b/>
      <w:sz w:val="28"/>
    </w:rPr>
  </w:style>
  <w:style w:type="paragraph" w:styleId="211">
    <w:name w:val="Основной текст 21"/>
    <w:basedOn w:val="Normal"/>
    <w:qFormat/>
    <w:pPr>
      <w:widowControl w:val="false"/>
      <w:suppressAutoHyphens w:val="false"/>
      <w:spacing w:lineRule="auto" w:line="480" w:before="0" w:after="120"/>
    </w:pPr>
    <w:rPr>
      <w:sz w:val="20"/>
    </w:rPr>
  </w:style>
  <w:style w:type="paragraph" w:styleId="13">
    <w:name w:val="Текст1"/>
    <w:basedOn w:val="Normal"/>
    <w:qFormat/>
    <w:pPr>
      <w:suppressAutoHyphens w:val="false"/>
    </w:pPr>
    <w:rPr>
      <w:rFonts w:ascii="Courier New" w:hAnsi="Courier New" w:eastAsia="Courier New"/>
      <w:sz w:val="20"/>
      <w:szCs w:val="20"/>
      <w:lang w:eastAsia="ar-SA"/>
    </w:rPr>
  </w:style>
  <w:style w:type="paragraph" w:styleId="ConsPlusNormal1">
    <w:name w:val="ConsPlusNormal"/>
    <w:qFormat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Liberation Serif" w:cs="Liberation Serif"/>
      <w:color w:val="auto"/>
      <w:kern w:val="2"/>
      <w:sz w:val="20"/>
      <w:szCs w:val="20"/>
      <w:lang w:val="ru-RU" w:eastAsia="hi-IN" w:bidi="ar-SA"/>
    </w:rPr>
  </w:style>
  <w:style w:type="paragraph" w:styleId="14">
    <w:name w:val="Знак Знак1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30">
    <w:name w:val="Знак Знак Знак Знак Знак Знак Знак Знак Знак Знак"/>
    <w:basedOn w:val="Normal"/>
    <w:qFormat/>
    <w:pPr>
      <w:suppressAutoHyphens w:val="false"/>
      <w:spacing w:lineRule="exact" w:line="240" w:before="0" w:after="160"/>
    </w:pPr>
    <w:rPr>
      <w:rFonts w:ascii="Verdana" w:hAnsi="Verdana" w:eastAsia="Verdana"/>
      <w:sz w:val="20"/>
      <w:szCs w:val="20"/>
      <w:lang w:val="en-US" w:eastAsia="ar-SA"/>
    </w:rPr>
  </w:style>
  <w:style w:type="paragraph" w:styleId="Style31">
    <w:name w:val="Обычный (веб)"/>
    <w:basedOn w:val="Normal"/>
    <w:qFormat/>
    <w:pPr>
      <w:suppressAutoHyphens w:val="false"/>
      <w:spacing w:before="280" w:after="280"/>
    </w:pPr>
    <w:rPr/>
  </w:style>
  <w:style w:type="paragraph" w:styleId="33">
    <w:name w:val="Текст3"/>
    <w:basedOn w:val="Normal"/>
    <w:qFormat/>
    <w:pPr>
      <w:suppressAutoHyphens w:val="false"/>
    </w:pPr>
    <w:rPr>
      <w:sz w:val="20"/>
      <w:lang w:eastAsia="ru-RU"/>
    </w:rPr>
  </w:style>
  <w:style w:type="paragraph" w:styleId="23">
    <w:name w:val="Основной текст 23"/>
    <w:basedOn w:val="Normal"/>
    <w:qFormat/>
    <w:pPr>
      <w:spacing w:lineRule="auto" w:line="480" w:before="0" w:after="120"/>
    </w:pPr>
    <w:rPr/>
  </w:style>
  <w:style w:type="paragraph" w:styleId="22">
    <w:name w:val="Текст2"/>
    <w:basedOn w:val="Normal"/>
    <w:qFormat/>
    <w:pPr>
      <w:suppressAutoHyphens w:val="false"/>
    </w:pPr>
    <w:rPr>
      <w:sz w:val="20"/>
      <w:lang w:eastAsia="ru-RU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4">
    <w:name w:val="Основной текст 24"/>
    <w:basedOn w:val="Normal"/>
    <w:qFormat/>
    <w:pPr>
      <w:spacing w:lineRule="auto" w:line="480" w:before="0" w:after="120"/>
    </w:pPr>
    <w:rPr/>
  </w:style>
  <w:style w:type="paragraph" w:styleId="44">
    <w:name w:val="Текст4"/>
    <w:basedOn w:val="Normal"/>
    <w:qFormat/>
    <w:pPr>
      <w:suppressAutoHyphens w:val="false"/>
    </w:pPr>
    <w:rPr>
      <w:sz w:val="20"/>
    </w:rPr>
  </w:style>
  <w:style w:type="paragraph" w:styleId="Formattexttopleveltext">
    <w:name w:val="formattext topleveltext"/>
    <w:basedOn w:val="Normal"/>
    <w:qFormat/>
    <w:pPr>
      <w:suppressAutoHyphens w:val="false"/>
      <w:spacing w:before="280" w:after="280"/>
    </w:pPr>
    <w:rPr/>
  </w:style>
  <w:style w:type="paragraph" w:styleId="Headertexttopleveltextcentertext">
    <w:name w:val="headertext topleveltext centertext"/>
    <w:basedOn w:val="Normal"/>
    <w:qFormat/>
    <w:pPr>
      <w:suppressAutoHyphens w:val="false"/>
      <w:spacing w:before="280" w:after="280"/>
    </w:pPr>
    <w:rPr/>
  </w:style>
  <w:style w:type="paragraph" w:styleId="Style32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5">
    <w:name w:val="Указатель1"/>
    <w:basedOn w:val="Normal"/>
    <w:qFormat/>
    <w:pPr/>
    <w:rPr>
      <w:rFonts w:ascii="Arial" w:hAnsi="Arial" w:eastAsia="Mangal"/>
      <w:lang w:eastAsia="ar-SA"/>
    </w:rPr>
  </w:style>
  <w:style w:type="paragraph" w:styleId="16">
    <w:name w:val="Название1"/>
    <w:basedOn w:val="Normal"/>
    <w:qFormat/>
    <w:pPr>
      <w:spacing w:before="120" w:after="120"/>
    </w:pPr>
    <w:rPr>
      <w:rFonts w:ascii="Arial" w:hAnsi="Arial" w:eastAsia="Mangal"/>
      <w:i/>
      <w:iCs/>
      <w:sz w:val="20"/>
      <w:lang w:eastAsia="ar-SA"/>
    </w:rPr>
  </w:style>
  <w:style w:type="paragraph" w:styleId="25">
    <w:name w:val="Указатель2"/>
    <w:basedOn w:val="Normal"/>
    <w:qFormat/>
    <w:pPr/>
    <w:rPr>
      <w:rFonts w:eastAsia="Mangal"/>
      <w:lang w:eastAsia="ar-SA"/>
    </w:rPr>
  </w:style>
  <w:style w:type="paragraph" w:styleId="Style33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5561B9937E4582C36FCD5F92AC4451E5C8CC545D4F6DB1EA69812F03F21C58229AF7747962069E51B1p9H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078D-A017-40EC-A312-C301DB9C3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LibreOffice/6.4.5.2$Windows_X86_64 LibreOffice_project/a726b36747cf2001e06b58ad5db1aa3a9a1872d6</Application>
  <Pages>9</Pages>
  <Words>2000</Words>
  <Characters>13714</Characters>
  <CharactersWithSpaces>15850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Дорохова</dc:creator>
  <dc:description/>
  <dc:language>ru-RU</dc:language>
  <cp:lastModifiedBy/>
  <cp:lastPrinted>2020-08-27T14:16:19Z</cp:lastPrinted>
  <dcterms:modified xsi:type="dcterms:W3CDTF">2020-08-27T14:17:58Z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