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Spacing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Отчет по реализации Плана</w:t>
      </w:r>
    </w:p>
    <w:p>
      <w:pPr>
        <w:pStyle w:val="NoSpacing"/>
        <w:jc w:val="center"/>
        <w:rPr/>
      </w:pPr>
      <w:r>
        <w:rPr>
          <w:rFonts w:ascii="Times New Roman" w:hAnsi="Times New Roman"/>
          <w:b/>
          <w:bCs/>
          <w:sz w:val="28"/>
          <w:szCs w:val="28"/>
        </w:rPr>
        <w:t xml:space="preserve">мероприятий («дорожной карты») по содействию развитию конкуренции в Мантуровском районе </w:t>
      </w:r>
    </w:p>
    <w:p>
      <w:pPr>
        <w:pStyle w:val="NoSpacing"/>
        <w:jc w:val="center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Курской области по итогам 2019 года</w:t>
      </w:r>
      <w:bookmarkStart w:id="0" w:name="_Hlk24712990"/>
      <w:bookmarkEnd w:id="0"/>
    </w:p>
    <w:p>
      <w:pPr>
        <w:pStyle w:val="NoSpacing"/>
        <w:jc w:val="center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Default"/>
        <w:suppressAutoHyphens w:val="true"/>
        <w:jc w:val="center"/>
        <w:rPr/>
      </w:pP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>. Фактическая информация (в том числе в числовом выражении) в отношении ситуации, сложившейся в каждой отрасли (сфере) экономики (на отдельных товарных рынках) Мантуровского района</w:t>
      </w:r>
    </w:p>
    <w:p>
      <w:pPr>
        <w:pStyle w:val="Default"/>
        <w:suppressAutoHyphens w:val="true"/>
        <w:jc w:val="center"/>
        <w:rPr>
          <w:b/>
          <w:b/>
          <w:color w:val="auto"/>
          <w:sz w:val="26"/>
          <w:szCs w:val="26"/>
        </w:rPr>
      </w:pPr>
      <w:r>
        <w:rPr>
          <w:b/>
          <w:sz w:val="28"/>
          <w:szCs w:val="28"/>
        </w:rPr>
        <w:t>Курской области, и её проблематики по итогам 2019 года</w:t>
      </w:r>
    </w:p>
    <w:p>
      <w:pPr>
        <w:pStyle w:val="Default"/>
        <w:suppressAutoHyphens w:val="true"/>
        <w:jc w:val="center"/>
        <w:rPr>
          <w:bCs/>
          <w:color w:val="auto"/>
          <w:sz w:val="26"/>
          <w:szCs w:val="26"/>
        </w:rPr>
      </w:pPr>
      <w:r>
        <w:rPr>
          <w:bCs/>
          <w:color w:val="auto"/>
          <w:sz w:val="26"/>
          <w:szCs w:val="26"/>
        </w:rPr>
      </w:r>
    </w:p>
    <w:p>
      <w:pPr>
        <w:pStyle w:val="Default"/>
        <w:suppressAutoHyphens w:val="true"/>
        <w:jc w:val="center"/>
        <w:rPr/>
      </w:pPr>
      <w:r>
        <w:rPr>
          <w:b/>
          <w:bCs/>
          <w:color w:val="auto"/>
          <w:sz w:val="26"/>
          <w:szCs w:val="26"/>
        </w:rPr>
        <w:t>1. Рынок услуг розничной торговли лекарственными препаратами, медицинскими изделиями и сопутствующими товарами</w:t>
      </w:r>
    </w:p>
    <w:p>
      <w:pPr>
        <w:pStyle w:val="Default"/>
        <w:suppressAutoHyphens w:val="true"/>
        <w:jc w:val="center"/>
        <w:rPr>
          <w:b/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</w:r>
    </w:p>
    <w:tbl>
      <w:tblPr>
        <w:tblStyle w:val="ae"/>
        <w:tblW w:w="16018" w:type="dxa"/>
        <w:jc w:val="left"/>
        <w:tblInd w:w="-46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356"/>
        <w:gridCol w:w="1984"/>
        <w:gridCol w:w="2127"/>
        <w:gridCol w:w="2550"/>
      </w:tblGrid>
      <w:tr>
        <w:trPr>
          <w:trHeight w:val="515" w:hRule="atLeast"/>
        </w:trPr>
        <w:tc>
          <w:tcPr>
            <w:tcW w:w="9356" w:type="dxa"/>
            <w:vMerge w:val="restart"/>
            <w:tcBorders/>
            <w:shd w:fill="auto" w:val="clear"/>
          </w:tcPr>
          <w:p>
            <w:pPr>
              <w:pStyle w:val="Default"/>
              <w:suppressAutoHyphens w:val="true"/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rFonts w:eastAsia="Times New Roman"/>
                <w:b/>
                <w:bCs/>
              </w:rPr>
              <w:t>Наименование показателя</w:t>
            </w:r>
          </w:p>
        </w:tc>
        <w:tc>
          <w:tcPr>
            <w:tcW w:w="4111" w:type="dxa"/>
            <w:gridSpan w:val="2"/>
            <w:tcBorders/>
            <w:shd w:fill="auto" w:val="clear"/>
          </w:tcPr>
          <w:p>
            <w:pPr>
              <w:pStyle w:val="Default"/>
              <w:suppressAutoHyphens w:val="true"/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rFonts w:eastAsia="Times New Roman"/>
                <w:bCs/>
                <w:color w:val="auto"/>
                <w:sz w:val="26"/>
                <w:szCs w:val="26"/>
              </w:rPr>
              <w:t>Индикаторы</w:t>
            </w:r>
          </w:p>
        </w:tc>
        <w:tc>
          <w:tcPr>
            <w:tcW w:w="2550" w:type="dxa"/>
            <w:vMerge w:val="restart"/>
            <w:tcBorders/>
            <w:shd w:fill="auto" w:val="clear"/>
          </w:tcPr>
          <w:p>
            <w:pPr>
              <w:pStyle w:val="Default"/>
              <w:suppressAutoHyphens w:val="true"/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rFonts w:eastAsia="Times New Roman"/>
                <w:b/>
                <w:bCs/>
              </w:rPr>
              <w:t>Ответственные исполнители</w:t>
            </w:r>
          </w:p>
        </w:tc>
      </w:tr>
      <w:tr>
        <w:trPr>
          <w:trHeight w:val="514" w:hRule="atLeast"/>
        </w:trPr>
        <w:tc>
          <w:tcPr>
            <w:tcW w:w="9356" w:type="dxa"/>
            <w:vMerge w:val="continue"/>
            <w:tcBorders/>
            <w:shd w:fill="auto" w:val="clear"/>
          </w:tcPr>
          <w:p>
            <w:pPr>
              <w:pStyle w:val="Default"/>
              <w:suppressAutoHyphens w:val="true"/>
              <w:jc w:val="center"/>
              <w:rPr>
                <w:rFonts w:ascii="Times New Roman" w:hAnsi="Times New Roman" w:eastAsia="Times New Roman"/>
                <w:b/>
                <w:b/>
                <w:bCs/>
              </w:rPr>
            </w:pPr>
            <w:r>
              <w:rPr>
                <w:rFonts w:eastAsia="Times New Roman"/>
                <w:b/>
                <w:bCs/>
              </w:rPr>
            </w:r>
          </w:p>
        </w:tc>
        <w:tc>
          <w:tcPr>
            <w:tcW w:w="1984" w:type="dxa"/>
            <w:tcBorders/>
            <w:shd w:fill="auto" w:val="clear"/>
          </w:tcPr>
          <w:p>
            <w:pPr>
              <w:pStyle w:val="Default"/>
              <w:suppressAutoHyphens w:val="true"/>
              <w:jc w:val="center"/>
              <w:rPr>
                <w:b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План</w:t>
            </w:r>
          </w:p>
        </w:tc>
        <w:tc>
          <w:tcPr>
            <w:tcW w:w="2127" w:type="dxa"/>
            <w:tcBorders/>
            <w:shd w:fill="auto" w:val="clear"/>
          </w:tcPr>
          <w:p>
            <w:pPr>
              <w:pStyle w:val="Default"/>
              <w:suppressAutoHyphens w:val="true"/>
              <w:jc w:val="center"/>
              <w:rPr>
                <w:b/>
                <w:b/>
                <w:bCs/>
                <w:highlight w:val="yellow"/>
              </w:rPr>
            </w:pPr>
            <w:r>
              <w:rPr>
                <w:rFonts w:eastAsia="Times New Roman"/>
                <w:b/>
                <w:bCs/>
              </w:rPr>
              <w:t>Факт</w:t>
            </w:r>
          </w:p>
        </w:tc>
        <w:tc>
          <w:tcPr>
            <w:tcW w:w="2550" w:type="dxa"/>
            <w:vMerge w:val="continue"/>
            <w:tcBorders/>
            <w:shd w:fill="auto" w:val="clear"/>
          </w:tcPr>
          <w:p>
            <w:pPr>
              <w:pStyle w:val="Default"/>
              <w:suppressAutoHyphens w:val="true"/>
              <w:jc w:val="center"/>
              <w:rPr>
                <w:rFonts w:ascii="Times New Roman" w:hAnsi="Times New Roman" w:eastAsia="Times New Roman"/>
                <w:b/>
                <w:b/>
                <w:bCs/>
              </w:rPr>
            </w:pPr>
            <w:r>
              <w:rPr>
                <w:rFonts w:eastAsia="Times New Roman"/>
                <w:b/>
                <w:bCs/>
              </w:rPr>
            </w:r>
          </w:p>
        </w:tc>
      </w:tr>
      <w:tr>
        <w:trPr>
          <w:trHeight w:val="677" w:hRule="atLeast"/>
        </w:trPr>
        <w:tc>
          <w:tcPr>
            <w:tcW w:w="9356" w:type="dxa"/>
            <w:tcBorders/>
            <w:shd w:fill="auto" w:val="clear"/>
          </w:tcPr>
          <w:p>
            <w:pPr>
              <w:pStyle w:val="Default"/>
              <w:suppressAutoHyphens w:val="true"/>
              <w:jc w:val="both"/>
              <w:rPr>
                <w:rFonts w:ascii="Times New Roman" w:hAnsi="Times New Roman" w:eastAsia="Times New Roman"/>
                <w:b w:val="false"/>
                <w:b w:val="false"/>
                <w:bCs w:val="false"/>
              </w:rPr>
            </w:pPr>
            <w:r>
              <w:rPr>
                <w:rFonts w:eastAsia="Times New Roman"/>
                <w:b w:val="false"/>
                <w:bCs w:val="false"/>
              </w:rPr>
              <w:t>Доля организаций частной формы собственности в сфере услуг розничной торговли лекарственными препаратами, медицинскими изделиями и сопутствующими товарами</w:t>
            </w:r>
          </w:p>
        </w:tc>
        <w:tc>
          <w:tcPr>
            <w:tcW w:w="1984" w:type="dxa"/>
            <w:tcBorders/>
            <w:shd w:fill="auto" w:val="clear"/>
          </w:tcPr>
          <w:p>
            <w:pPr>
              <w:pStyle w:val="Default"/>
              <w:suppressAutoHyphens w:val="true"/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eastAsia="Times New Roman"/>
                <w:bCs/>
              </w:rPr>
              <w:t>2019г — 4</w:t>
            </w:r>
          </w:p>
          <w:p>
            <w:pPr>
              <w:pStyle w:val="Default"/>
              <w:suppressAutoHyphens w:val="true"/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eastAsia="Times New Roman"/>
                <w:bCs/>
              </w:rPr>
              <w:t>75%</w:t>
            </w:r>
          </w:p>
        </w:tc>
        <w:tc>
          <w:tcPr>
            <w:tcW w:w="2127" w:type="dxa"/>
            <w:tcBorders/>
            <w:shd w:fill="auto" w:val="clear"/>
          </w:tcPr>
          <w:p>
            <w:pPr>
              <w:pStyle w:val="Default"/>
              <w:suppressAutoHyphens w:val="true"/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eastAsia="Times New Roman"/>
                <w:bCs/>
              </w:rPr>
              <w:t xml:space="preserve">2019г — </w:t>
            </w:r>
            <w:r>
              <w:rPr>
                <w:rFonts w:eastAsia="Times New Roman"/>
                <w:bCs/>
                <w:highlight w:val="white"/>
              </w:rPr>
              <w:t>4</w:t>
            </w:r>
          </w:p>
          <w:p>
            <w:pPr>
              <w:pStyle w:val="Default"/>
              <w:suppressAutoHyphens w:val="true"/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eastAsia="Times New Roman"/>
                <w:bCs/>
                <w:highlight w:val="white"/>
              </w:rPr>
              <w:t>75%</w:t>
            </w:r>
          </w:p>
        </w:tc>
        <w:tc>
          <w:tcPr>
            <w:tcW w:w="2550" w:type="dxa"/>
            <w:tcBorders/>
            <w:shd w:fill="auto" w:val="clear"/>
          </w:tcPr>
          <w:p>
            <w:pPr>
              <w:pStyle w:val="Default"/>
              <w:suppressAutoHyphens w:val="true"/>
              <w:jc w:val="center"/>
              <w:rPr>
                <w:rFonts w:ascii="Times New Roman" w:hAnsi="Times New Roman" w:eastAsia="Times New Roman"/>
                <w:b w:val="false"/>
                <w:b w:val="false"/>
                <w:bCs w:val="false"/>
              </w:rPr>
            </w:pPr>
            <w:r>
              <w:rPr>
                <w:rFonts w:eastAsia="Times New Roman"/>
                <w:b w:val="false"/>
                <w:bCs w:val="false"/>
              </w:rPr>
              <w:t>Отдел экономики и труда Администрации района</w:t>
            </w:r>
          </w:p>
        </w:tc>
      </w:tr>
    </w:tbl>
    <w:p>
      <w:pPr>
        <w:pStyle w:val="Default"/>
        <w:suppressAutoHyphens w:val="true"/>
        <w:jc w:val="center"/>
        <w:rPr>
          <w:bCs/>
          <w:color w:val="auto"/>
          <w:sz w:val="26"/>
          <w:szCs w:val="26"/>
        </w:rPr>
      </w:pPr>
      <w:r>
        <w:rPr>
          <w:bCs/>
          <w:color w:val="auto"/>
          <w:sz w:val="26"/>
          <w:szCs w:val="26"/>
        </w:rPr>
      </w:r>
    </w:p>
    <w:tbl>
      <w:tblPr>
        <w:tblStyle w:val="ae"/>
        <w:tblW w:w="15978" w:type="dxa"/>
        <w:jc w:val="center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704"/>
        <w:gridCol w:w="6676"/>
        <w:gridCol w:w="1417"/>
        <w:gridCol w:w="4961"/>
        <w:gridCol w:w="2220"/>
      </w:tblGrid>
      <w:tr>
        <w:trPr>
          <w:tblHeader w:val="true"/>
          <w:trHeight w:val="1490" w:hRule="atLeast"/>
        </w:trPr>
        <w:tc>
          <w:tcPr>
            <w:tcW w:w="704" w:type="dxa"/>
            <w:tcBorders/>
            <w:shd w:fill="auto" w:val="clear"/>
            <w:vAlign w:val="center"/>
          </w:tcPr>
          <w:p>
            <w:pPr>
              <w:pStyle w:val="NoSpacing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bCs/>
                <w:sz w:val="24"/>
                <w:szCs w:val="24"/>
              </w:rPr>
              <w:t xml:space="preserve">№ </w:t>
            </w:r>
            <w:r>
              <w:rPr>
                <w:rFonts w:eastAsia="Times New Roman" w:ascii="Times New Roman" w:hAnsi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6676" w:type="dxa"/>
            <w:tcBorders/>
            <w:shd w:fill="auto" w:val="clear"/>
            <w:vAlign w:val="center"/>
          </w:tcPr>
          <w:p>
            <w:pPr>
              <w:pStyle w:val="NoSpacing"/>
              <w:suppressAutoHyphens w:val="true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17" w:type="dxa"/>
            <w:tcBorders/>
            <w:shd w:fill="auto" w:val="clear"/>
            <w:vAlign w:val="center"/>
          </w:tcPr>
          <w:p>
            <w:pPr>
              <w:pStyle w:val="NoSpacing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bCs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4961" w:type="dxa"/>
            <w:tcBorders/>
            <w:shd w:fill="auto" w:val="clear"/>
          </w:tcPr>
          <w:p>
            <w:pPr>
              <w:pStyle w:val="NoSpacing"/>
              <w:suppressAutoHyphens w:val="true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bCs/>
                <w:sz w:val="24"/>
                <w:szCs w:val="24"/>
              </w:rPr>
              <w:t>Отчет об исполнении мероприятия</w:t>
            </w:r>
          </w:p>
        </w:tc>
        <w:tc>
          <w:tcPr>
            <w:tcW w:w="2220" w:type="dxa"/>
            <w:tcBorders/>
            <w:shd w:fill="auto" w:val="clear"/>
            <w:vAlign w:val="center"/>
          </w:tcPr>
          <w:p>
            <w:pPr>
              <w:pStyle w:val="NoSpacing"/>
              <w:suppressAutoHyphens w:val="true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bCs/>
                <w:sz w:val="24"/>
                <w:szCs w:val="24"/>
              </w:rPr>
              <w:t>Ответственные исполнители</w:t>
            </w:r>
          </w:p>
        </w:tc>
      </w:tr>
      <w:tr>
        <w:trPr/>
        <w:tc>
          <w:tcPr>
            <w:tcW w:w="704" w:type="dxa"/>
            <w:tcBorders/>
            <w:shd w:fill="auto" w:val="clear"/>
            <w:vAlign w:val="center"/>
          </w:tcPr>
          <w:p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6676" w:type="dxa"/>
            <w:tcBorders/>
            <w:shd w:fill="auto" w:val="clear"/>
            <w:vAlign w:val="center"/>
          </w:tcPr>
          <w:p>
            <w:pPr>
              <w:pStyle w:val="NoSpacing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Развитие конкуренции на рынке услуг розничной торговли лекарственными препаратами, медицинскими изделиями и сопутствующими товарами</w:t>
            </w:r>
          </w:p>
        </w:tc>
        <w:tc>
          <w:tcPr>
            <w:tcW w:w="1417" w:type="dxa"/>
            <w:vMerge w:val="restart"/>
            <w:tcBorders/>
            <w:shd w:fill="auto" w:val="clear"/>
            <w:vAlign w:val="center"/>
          </w:tcPr>
          <w:p>
            <w:pPr>
              <w:pStyle w:val="NoSpacing"/>
              <w:jc w:val="center"/>
              <w:rPr/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 xml:space="preserve">2019-2021 </w:t>
            </w:r>
            <w:r>
              <w:rPr>
                <w:rFonts w:eastAsia="Times New Roman" w:ascii="Times New Roman" w:hAnsi="Times New Roman"/>
                <w:bCs/>
                <w:sz w:val="24"/>
                <w:szCs w:val="24"/>
              </w:rPr>
              <w:t>г.г.</w:t>
            </w:r>
          </w:p>
        </w:tc>
        <w:tc>
          <w:tcPr>
            <w:tcW w:w="4961" w:type="dxa"/>
            <w:tcBorders/>
            <w:shd w:fill="auto" w:val="clear"/>
          </w:tcPr>
          <w:p>
            <w:pPr>
              <w:pStyle w:val="NoSpacing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Рынок розничной торговли лекарственными препаратами, медицинскими изделиями и сопутствующими товарами по состоянию на 01.01.2020 года представлен 4 аптечными организациями, в том числе 1-государственная, частных -3. Доля частных составляет 75%.</w:t>
            </w:r>
          </w:p>
        </w:tc>
        <w:tc>
          <w:tcPr>
            <w:tcW w:w="2220" w:type="dxa"/>
            <w:vMerge w:val="restart"/>
            <w:tcBorders/>
            <w:shd w:fill="auto" w:val="clear"/>
            <w:vAlign w:val="center"/>
          </w:tcPr>
          <w:p>
            <w:pPr>
              <w:pStyle w:val="Default"/>
              <w:suppressAutoHyphens w:val="true"/>
              <w:jc w:val="center"/>
              <w:rPr>
                <w:rFonts w:ascii="Times New Roman" w:hAnsi="Times New Roman" w:eastAsia="Times New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eastAsia="Times New Roman"/>
                <w:b w:val="false"/>
                <w:bCs w:val="false"/>
                <w:sz w:val="24"/>
                <w:szCs w:val="24"/>
              </w:rPr>
              <w:t>Отдел экономики и труда Администрации района</w:t>
            </w:r>
          </w:p>
        </w:tc>
      </w:tr>
      <w:tr>
        <w:trPr/>
        <w:tc>
          <w:tcPr>
            <w:tcW w:w="704" w:type="dxa"/>
            <w:tcBorders/>
            <w:shd w:fill="auto" w:val="clear"/>
            <w:vAlign w:val="center"/>
          </w:tcPr>
          <w:p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6676" w:type="dxa"/>
            <w:tcBorders/>
            <w:shd w:fill="auto" w:val="clear"/>
            <w:vAlign w:val="center"/>
          </w:tcPr>
          <w:p>
            <w:pPr>
              <w:pStyle w:val="NoSpacing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17" w:type="dxa"/>
            <w:vMerge w:val="continue"/>
            <w:tcBorders/>
            <w:shd w:fill="auto" w:val="clear"/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</w:r>
          </w:p>
        </w:tc>
        <w:tc>
          <w:tcPr>
            <w:tcW w:w="4961" w:type="dxa"/>
            <w:tcBorders/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20" w:type="dxa"/>
            <w:vMerge w:val="continue"/>
            <w:tcBorders/>
            <w:shd w:fill="auto" w:val="clear"/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04" w:type="dxa"/>
            <w:tcBorders/>
            <w:shd w:fill="auto" w:val="clear"/>
            <w:vAlign w:val="center"/>
          </w:tcPr>
          <w:p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6676" w:type="dxa"/>
            <w:tcBorders/>
            <w:shd w:fill="auto" w:val="clear"/>
            <w:vAlign w:val="center"/>
          </w:tcPr>
          <w:p>
            <w:pPr>
              <w:pStyle w:val="NoSpacing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17" w:type="dxa"/>
            <w:vMerge w:val="continue"/>
            <w:tcBorders/>
            <w:shd w:fill="auto" w:val="clear"/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</w:r>
          </w:p>
        </w:tc>
        <w:tc>
          <w:tcPr>
            <w:tcW w:w="4961" w:type="dxa"/>
            <w:tcBorders/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20" w:type="dxa"/>
            <w:vMerge w:val="continue"/>
            <w:tcBorders/>
            <w:shd w:fill="auto" w:val="clear"/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Default"/>
        <w:suppressAutoHyphens w:val="true"/>
        <w:jc w:val="center"/>
        <w:rPr>
          <w:bCs/>
          <w:color w:val="auto"/>
          <w:sz w:val="26"/>
          <w:szCs w:val="26"/>
        </w:rPr>
      </w:pPr>
      <w:r>
        <w:rPr>
          <w:bCs/>
          <w:color w:val="auto"/>
          <w:sz w:val="26"/>
          <w:szCs w:val="26"/>
        </w:rPr>
      </w:r>
    </w:p>
    <w:p>
      <w:pPr>
        <w:pStyle w:val="Default"/>
        <w:suppressAutoHyphens w:val="true"/>
        <w:jc w:val="center"/>
        <w:rPr/>
      </w:pPr>
      <w:r>
        <w:rPr>
          <w:b/>
          <w:sz w:val="26"/>
          <w:szCs w:val="26"/>
        </w:rPr>
        <w:t>2. Рынок ритуальных</w:t>
      </w:r>
      <w:r>
        <w:rPr>
          <w:b/>
          <w:bCs/>
          <w:color w:val="auto"/>
          <w:sz w:val="26"/>
          <w:szCs w:val="26"/>
        </w:rPr>
        <w:t xml:space="preserve"> услуг </w:t>
      </w:r>
    </w:p>
    <w:p>
      <w:pPr>
        <w:pStyle w:val="Default"/>
        <w:suppressAutoHyphens w:val="true"/>
        <w:jc w:val="center"/>
        <w:rPr>
          <w:bCs/>
          <w:color w:val="auto"/>
          <w:sz w:val="26"/>
          <w:szCs w:val="26"/>
        </w:rPr>
      </w:pPr>
      <w:r>
        <w:rPr>
          <w:bCs/>
          <w:color w:val="auto"/>
          <w:sz w:val="26"/>
          <w:szCs w:val="26"/>
        </w:rPr>
      </w:r>
    </w:p>
    <w:tbl>
      <w:tblPr>
        <w:tblStyle w:val="ae"/>
        <w:tblW w:w="16018" w:type="dxa"/>
        <w:jc w:val="left"/>
        <w:tblInd w:w="-46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945"/>
        <w:gridCol w:w="1985"/>
        <w:gridCol w:w="1984"/>
        <w:gridCol w:w="5103"/>
      </w:tblGrid>
      <w:tr>
        <w:trPr>
          <w:trHeight w:val="515" w:hRule="atLeast"/>
        </w:trPr>
        <w:tc>
          <w:tcPr>
            <w:tcW w:w="6945" w:type="dxa"/>
            <w:vMerge w:val="restart"/>
            <w:tcBorders/>
            <w:shd w:fill="auto" w:val="clear"/>
          </w:tcPr>
          <w:p>
            <w:pPr>
              <w:pStyle w:val="Default"/>
              <w:suppressAutoHyphens w:val="true"/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rFonts w:eastAsia="Times New Roman"/>
                <w:b/>
                <w:bCs/>
              </w:rPr>
              <w:t>Наименование показателя</w:t>
            </w:r>
          </w:p>
        </w:tc>
        <w:tc>
          <w:tcPr>
            <w:tcW w:w="3969" w:type="dxa"/>
            <w:gridSpan w:val="2"/>
            <w:tcBorders/>
            <w:shd w:fill="auto" w:val="clear"/>
          </w:tcPr>
          <w:p>
            <w:pPr>
              <w:pStyle w:val="Default"/>
              <w:suppressAutoHyphens w:val="true"/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rFonts w:eastAsia="Times New Roman"/>
                <w:bCs/>
                <w:color w:val="auto"/>
                <w:sz w:val="26"/>
                <w:szCs w:val="26"/>
              </w:rPr>
              <w:t>Индикаторы</w:t>
            </w:r>
          </w:p>
        </w:tc>
        <w:tc>
          <w:tcPr>
            <w:tcW w:w="5103" w:type="dxa"/>
            <w:vMerge w:val="restart"/>
            <w:tcBorders/>
            <w:shd w:fill="auto" w:val="clear"/>
          </w:tcPr>
          <w:p>
            <w:pPr>
              <w:pStyle w:val="Default"/>
              <w:suppressAutoHyphens w:val="true"/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rFonts w:eastAsia="Times New Roman"/>
                <w:b/>
                <w:bCs/>
              </w:rPr>
              <w:t>Ответственные исполнители</w:t>
            </w:r>
          </w:p>
        </w:tc>
      </w:tr>
      <w:tr>
        <w:trPr>
          <w:trHeight w:val="514" w:hRule="atLeast"/>
        </w:trPr>
        <w:tc>
          <w:tcPr>
            <w:tcW w:w="6945" w:type="dxa"/>
            <w:vMerge w:val="continue"/>
            <w:tcBorders/>
            <w:shd w:fill="auto" w:val="clear"/>
          </w:tcPr>
          <w:p>
            <w:pPr>
              <w:pStyle w:val="Default"/>
              <w:suppressAutoHyphens w:val="true"/>
              <w:jc w:val="center"/>
              <w:rPr>
                <w:rFonts w:ascii="Times New Roman" w:hAnsi="Times New Roman" w:eastAsia="Times New Roman"/>
                <w:b/>
                <w:b/>
                <w:bCs/>
              </w:rPr>
            </w:pPr>
            <w:r>
              <w:rPr>
                <w:rFonts w:eastAsia="Times New Roman"/>
                <w:b/>
                <w:bCs/>
              </w:rPr>
            </w:r>
          </w:p>
        </w:tc>
        <w:tc>
          <w:tcPr>
            <w:tcW w:w="1985" w:type="dxa"/>
            <w:tcBorders/>
            <w:shd w:fill="auto" w:val="clear"/>
          </w:tcPr>
          <w:p>
            <w:pPr>
              <w:pStyle w:val="Default"/>
              <w:suppressAutoHyphens w:val="true"/>
              <w:jc w:val="center"/>
              <w:rPr>
                <w:b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План</w:t>
            </w:r>
          </w:p>
        </w:tc>
        <w:tc>
          <w:tcPr>
            <w:tcW w:w="1984" w:type="dxa"/>
            <w:tcBorders/>
            <w:shd w:fill="auto" w:val="clear"/>
          </w:tcPr>
          <w:p>
            <w:pPr>
              <w:pStyle w:val="Default"/>
              <w:suppressAutoHyphens w:val="true"/>
              <w:jc w:val="center"/>
              <w:rPr>
                <w:b/>
                <w:b/>
                <w:bCs/>
                <w:highlight w:val="yellow"/>
              </w:rPr>
            </w:pPr>
            <w:r>
              <w:rPr>
                <w:rFonts w:eastAsia="Times New Roman"/>
                <w:b/>
                <w:bCs/>
              </w:rPr>
              <w:t>Факт</w:t>
            </w:r>
          </w:p>
        </w:tc>
        <w:tc>
          <w:tcPr>
            <w:tcW w:w="5103" w:type="dxa"/>
            <w:vMerge w:val="continue"/>
            <w:tcBorders/>
            <w:shd w:fill="auto" w:val="clear"/>
          </w:tcPr>
          <w:p>
            <w:pPr>
              <w:pStyle w:val="Default"/>
              <w:suppressAutoHyphens w:val="true"/>
              <w:jc w:val="center"/>
              <w:rPr>
                <w:rFonts w:ascii="Times New Roman" w:hAnsi="Times New Roman" w:eastAsia="Times New Roman"/>
                <w:b/>
                <w:b/>
                <w:bCs/>
              </w:rPr>
            </w:pPr>
            <w:r>
              <w:rPr>
                <w:rFonts w:eastAsia="Times New Roman"/>
                <w:b/>
                <w:bCs/>
              </w:rPr>
            </w:r>
          </w:p>
        </w:tc>
      </w:tr>
      <w:tr>
        <w:trPr>
          <w:trHeight w:val="611" w:hRule="atLeast"/>
        </w:trPr>
        <w:tc>
          <w:tcPr>
            <w:tcW w:w="6945" w:type="dxa"/>
            <w:tcBorders/>
            <w:shd w:fill="auto" w:val="clear"/>
          </w:tcPr>
          <w:p>
            <w:pPr>
              <w:pStyle w:val="Default"/>
              <w:suppressAutoHyphens w:val="true"/>
              <w:jc w:val="both"/>
              <w:rPr>
                <w:rFonts w:ascii="Times New Roman" w:hAnsi="Times New Roman" w:eastAsia="Times New Roman"/>
                <w:b w:val="false"/>
                <w:b w:val="false"/>
                <w:bCs w:val="false"/>
              </w:rPr>
            </w:pPr>
            <w:r>
              <w:rPr>
                <w:rFonts w:eastAsia="Times New Roman"/>
                <w:b w:val="false"/>
                <w:bCs w:val="false"/>
              </w:rPr>
              <w:t>Доля организаций частной формы собственности в сфере ритуальных услуг</w:t>
            </w:r>
          </w:p>
        </w:tc>
        <w:tc>
          <w:tcPr>
            <w:tcW w:w="1985" w:type="dxa"/>
            <w:tcBorders/>
            <w:shd w:fill="auto" w:val="clear"/>
          </w:tcPr>
          <w:p>
            <w:pPr>
              <w:pStyle w:val="Default"/>
              <w:suppressAutoHyphens w:val="true"/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eastAsia="Times New Roman"/>
                <w:bCs/>
              </w:rPr>
              <w:t>2019г – 4</w:t>
            </w:r>
          </w:p>
          <w:p>
            <w:pPr>
              <w:pStyle w:val="Default"/>
              <w:suppressAutoHyphens w:val="true"/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eastAsia="Times New Roman"/>
                <w:bCs/>
              </w:rPr>
              <w:t>100%</w:t>
            </w:r>
          </w:p>
        </w:tc>
        <w:tc>
          <w:tcPr>
            <w:tcW w:w="1984" w:type="dxa"/>
            <w:tcBorders/>
            <w:shd w:fill="auto" w:val="clear"/>
          </w:tcPr>
          <w:p>
            <w:pPr>
              <w:pStyle w:val="Default"/>
              <w:suppressAutoHyphens w:val="true"/>
              <w:jc w:val="center"/>
              <w:rPr/>
            </w:pPr>
            <w:r>
              <w:rPr>
                <w:rFonts w:eastAsia="Times New Roman"/>
                <w:bCs/>
              </w:rPr>
              <w:t xml:space="preserve">2019г — </w:t>
            </w:r>
            <w:r>
              <w:rPr>
                <w:rFonts w:eastAsia="Times New Roman"/>
                <w:bCs/>
                <w:highlight w:val="white"/>
              </w:rPr>
              <w:t>4</w:t>
            </w:r>
          </w:p>
          <w:p>
            <w:pPr>
              <w:pStyle w:val="Default"/>
              <w:suppressAutoHyphens w:val="true"/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eastAsia="Times New Roman"/>
                <w:bCs/>
                <w:highlight w:val="white"/>
              </w:rPr>
              <w:t>100%</w:t>
            </w:r>
          </w:p>
        </w:tc>
        <w:tc>
          <w:tcPr>
            <w:tcW w:w="5103" w:type="dxa"/>
            <w:tcBorders/>
            <w:shd w:fill="auto" w:val="clear"/>
          </w:tcPr>
          <w:p>
            <w:pPr>
              <w:pStyle w:val="Default"/>
              <w:suppressAutoHyphens w:val="true"/>
              <w:jc w:val="center"/>
              <w:rPr>
                <w:rFonts w:ascii="Times New Roman" w:hAnsi="Times New Roman" w:eastAsia="Times New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eastAsia="Times New Roman"/>
                <w:b w:val="false"/>
                <w:bCs w:val="false"/>
                <w:sz w:val="24"/>
                <w:szCs w:val="24"/>
              </w:rPr>
              <w:t>Отдел экономики и труда Администрации района</w:t>
            </w:r>
          </w:p>
        </w:tc>
      </w:tr>
    </w:tbl>
    <w:p>
      <w:pPr>
        <w:pStyle w:val="Default"/>
        <w:suppressAutoHyphens w:val="true"/>
        <w:jc w:val="center"/>
        <w:rPr>
          <w:bCs/>
          <w:color w:val="auto"/>
          <w:sz w:val="26"/>
          <w:szCs w:val="26"/>
        </w:rPr>
      </w:pPr>
      <w:r>
        <w:rPr>
          <w:bCs/>
          <w:color w:val="auto"/>
          <w:sz w:val="26"/>
          <w:szCs w:val="26"/>
        </w:rPr>
      </w:r>
    </w:p>
    <w:tbl>
      <w:tblPr>
        <w:tblStyle w:val="ae"/>
        <w:tblW w:w="15978" w:type="dxa"/>
        <w:jc w:val="center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704"/>
        <w:gridCol w:w="6676"/>
        <w:gridCol w:w="1417"/>
        <w:gridCol w:w="4961"/>
        <w:gridCol w:w="2220"/>
      </w:tblGrid>
      <w:tr>
        <w:trPr>
          <w:tblHeader w:val="true"/>
          <w:trHeight w:val="1490" w:hRule="atLeast"/>
        </w:trPr>
        <w:tc>
          <w:tcPr>
            <w:tcW w:w="704" w:type="dxa"/>
            <w:tcBorders/>
            <w:shd w:fill="auto" w:val="clear"/>
            <w:vAlign w:val="center"/>
          </w:tcPr>
          <w:p>
            <w:pPr>
              <w:pStyle w:val="NoSpacing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bCs/>
                <w:sz w:val="24"/>
                <w:szCs w:val="24"/>
              </w:rPr>
              <w:t xml:space="preserve">№ </w:t>
            </w:r>
            <w:r>
              <w:rPr>
                <w:rFonts w:eastAsia="Times New Roman" w:ascii="Times New Roman" w:hAnsi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6676" w:type="dxa"/>
            <w:tcBorders/>
            <w:shd w:fill="auto" w:val="clear"/>
            <w:vAlign w:val="center"/>
          </w:tcPr>
          <w:p>
            <w:pPr>
              <w:pStyle w:val="NoSpacing"/>
              <w:suppressAutoHyphens w:val="true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17" w:type="dxa"/>
            <w:tcBorders/>
            <w:shd w:fill="auto" w:val="clear"/>
            <w:vAlign w:val="center"/>
          </w:tcPr>
          <w:p>
            <w:pPr>
              <w:pStyle w:val="NoSpacing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bCs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4961" w:type="dxa"/>
            <w:tcBorders/>
            <w:shd w:fill="auto" w:val="clear"/>
          </w:tcPr>
          <w:p>
            <w:pPr>
              <w:pStyle w:val="NoSpacing"/>
              <w:suppressAutoHyphens w:val="true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bCs/>
                <w:sz w:val="24"/>
                <w:szCs w:val="24"/>
              </w:rPr>
              <w:t>Отчет об исполнении мероприятия</w:t>
            </w:r>
          </w:p>
        </w:tc>
        <w:tc>
          <w:tcPr>
            <w:tcW w:w="2220" w:type="dxa"/>
            <w:tcBorders/>
            <w:shd w:fill="auto" w:val="clear"/>
            <w:vAlign w:val="center"/>
          </w:tcPr>
          <w:p>
            <w:pPr>
              <w:pStyle w:val="NoSpacing"/>
              <w:suppressAutoHyphens w:val="true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bCs/>
                <w:sz w:val="24"/>
                <w:szCs w:val="24"/>
              </w:rPr>
              <w:t>Ответственные исполнители</w:t>
            </w:r>
          </w:p>
        </w:tc>
      </w:tr>
      <w:tr>
        <w:trPr>
          <w:trHeight w:val="715" w:hRule="atLeast"/>
        </w:trPr>
        <w:tc>
          <w:tcPr>
            <w:tcW w:w="704" w:type="dxa"/>
            <w:tcBorders/>
            <w:shd w:fill="auto" w:val="clear"/>
            <w:vAlign w:val="center"/>
          </w:tcPr>
          <w:p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6676" w:type="dxa"/>
            <w:tcBorders/>
            <w:shd w:fill="auto" w:val="clear"/>
            <w:vAlign w:val="center"/>
          </w:tcPr>
          <w:p>
            <w:pPr>
              <w:pStyle w:val="NoSpacing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Проведение мониторинга состояния рынка ритуальных услуг Мантуровского района</w:t>
            </w:r>
          </w:p>
        </w:tc>
        <w:tc>
          <w:tcPr>
            <w:tcW w:w="1417" w:type="dxa"/>
            <w:tcBorders/>
            <w:shd w:fill="auto" w:val="clear"/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2019-2021 г.г.</w:t>
            </w:r>
          </w:p>
        </w:tc>
        <w:tc>
          <w:tcPr>
            <w:tcW w:w="4961" w:type="dxa"/>
            <w:tcBorders/>
            <w:shd w:fill="auto" w:val="clear"/>
          </w:tcPr>
          <w:p>
            <w:pPr>
              <w:pStyle w:val="NoSpacing"/>
              <w:jc w:val="both"/>
              <w:rPr/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 xml:space="preserve">Ритуальные услуги по состоянию на 01.01.2020 г оказывают 4 частных организаций. </w:t>
            </w:r>
          </w:p>
        </w:tc>
        <w:tc>
          <w:tcPr>
            <w:tcW w:w="2220" w:type="dxa"/>
            <w:tcBorders/>
            <w:shd w:fill="auto" w:val="clear"/>
            <w:vAlign w:val="center"/>
          </w:tcPr>
          <w:p>
            <w:pPr>
              <w:pStyle w:val="Default"/>
              <w:suppressAutoHyphens w:val="true"/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/>
                <w:b w:val="false"/>
                <w:bCs w:val="false"/>
                <w:sz w:val="24"/>
                <w:szCs w:val="24"/>
              </w:rPr>
              <w:t>Отдел экономики и труда Администрации района</w:t>
            </w:r>
          </w:p>
        </w:tc>
      </w:tr>
      <w:tr>
        <w:trPr>
          <w:trHeight w:val="342" w:hRule="atLeast"/>
        </w:trPr>
        <w:tc>
          <w:tcPr>
            <w:tcW w:w="704" w:type="dxa"/>
            <w:tcBorders>
              <w:top w:val="nil"/>
            </w:tcBorders>
            <w:shd w:fill="auto" w:val="clear"/>
            <w:vAlign w:val="center"/>
          </w:tcPr>
          <w:p>
            <w:pPr>
              <w:pStyle w:val="NoSpacing"/>
              <w:jc w:val="center"/>
              <w:rPr/>
            </w:pPr>
            <w:r>
              <w:rPr/>
              <w:t>2.2.</w:t>
            </w:r>
          </w:p>
        </w:tc>
        <w:tc>
          <w:tcPr>
            <w:tcW w:w="6676" w:type="dxa"/>
            <w:tcBorders>
              <w:top w:val="nil"/>
            </w:tcBorders>
            <w:shd w:fill="auto" w:val="clear"/>
            <w:vAlign w:val="center"/>
          </w:tcPr>
          <w:p>
            <w:pPr>
              <w:pStyle w:val="NoSpacing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Оказание консультационной и методической поддержки хозяйствующим субъектам, открывающим объекты по рынку  ритуальных услуг на территории Мантуровского района</w:t>
            </w:r>
          </w:p>
        </w:tc>
        <w:tc>
          <w:tcPr>
            <w:tcW w:w="1417" w:type="dxa"/>
            <w:tcBorders>
              <w:top w:val="nil"/>
            </w:tcBorders>
            <w:shd w:fill="auto" w:val="clear"/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bookmarkStart w:id="1" w:name="__DdeLink__469_1213411767"/>
            <w:r>
              <w:rPr>
                <w:rFonts w:eastAsia="Times New Roman" w:ascii="Times New Roman" w:hAnsi="Times New Roman"/>
                <w:sz w:val="24"/>
                <w:szCs w:val="24"/>
              </w:rPr>
              <w:t>2019-2021 г.г.</w:t>
            </w:r>
            <w:bookmarkEnd w:id="1"/>
          </w:p>
        </w:tc>
        <w:tc>
          <w:tcPr>
            <w:tcW w:w="4961" w:type="dxa"/>
            <w:tcBorders>
              <w:top w:val="nil"/>
            </w:tcBorders>
            <w:shd w:fill="auto" w:val="clear"/>
          </w:tcPr>
          <w:p>
            <w:pPr>
              <w:pStyle w:val="NoSpacing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За оказанием консультационной  поддержкой по оказанию ритуальных услуг обратился 1 ИП</w:t>
            </w:r>
          </w:p>
        </w:tc>
        <w:tc>
          <w:tcPr>
            <w:tcW w:w="2220" w:type="dxa"/>
            <w:tcBorders>
              <w:top w:val="nil"/>
            </w:tcBorders>
            <w:shd w:fill="auto" w:val="clear"/>
            <w:vAlign w:val="center"/>
          </w:tcPr>
          <w:p>
            <w:pPr>
              <w:pStyle w:val="Default"/>
              <w:suppressAutoHyphens w:val="true"/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/>
                <w:b w:val="false"/>
                <w:bCs w:val="false"/>
                <w:sz w:val="24"/>
                <w:szCs w:val="24"/>
              </w:rPr>
              <w:t>Отдел экономики и труда Администрации района</w:t>
            </w:r>
          </w:p>
        </w:tc>
      </w:tr>
      <w:tr>
        <w:trPr>
          <w:trHeight w:val="342" w:hRule="atLeast"/>
        </w:trPr>
        <w:tc>
          <w:tcPr>
            <w:tcW w:w="704" w:type="dxa"/>
            <w:tcBorders>
              <w:top w:val="nil"/>
            </w:tcBorders>
            <w:shd w:fill="auto" w:val="clear"/>
            <w:vAlign w:val="center"/>
          </w:tcPr>
          <w:p>
            <w:pPr>
              <w:pStyle w:val="NoSpacing"/>
              <w:jc w:val="center"/>
              <w:rPr/>
            </w:pPr>
            <w:r>
              <w:rPr/>
              <w:t xml:space="preserve">2.3. </w:t>
            </w:r>
          </w:p>
        </w:tc>
        <w:tc>
          <w:tcPr>
            <w:tcW w:w="6676" w:type="dxa"/>
            <w:tcBorders>
              <w:top w:val="nil"/>
            </w:tcBorders>
            <w:shd w:fill="auto" w:val="clear"/>
            <w:vAlign w:val="center"/>
          </w:tcPr>
          <w:p>
            <w:pPr>
              <w:pStyle w:val="NoSpacing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Проведения анализа (оценки) состояния конкурентной среды на рынке ритуальных услуг на основании мониторинга</w:t>
            </w:r>
          </w:p>
        </w:tc>
        <w:tc>
          <w:tcPr>
            <w:tcW w:w="1417" w:type="dxa"/>
            <w:tcBorders>
              <w:top w:val="nil"/>
            </w:tcBorders>
            <w:shd w:fill="auto" w:val="clear"/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2019-2021 г.г.</w:t>
            </w:r>
          </w:p>
        </w:tc>
        <w:tc>
          <w:tcPr>
            <w:tcW w:w="4961" w:type="dxa"/>
            <w:tcBorders>
              <w:top w:val="nil"/>
            </w:tcBorders>
            <w:shd w:fill="auto" w:val="clear"/>
          </w:tcPr>
          <w:p>
            <w:pPr>
              <w:pStyle w:val="NoSpacing"/>
              <w:jc w:val="both"/>
              <w:rPr/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На основании проведенного мониторинга на 01.01.2019 года на рынке ритуальных услуг оказывают услуги  4 частные организации. По состоянию на 01.01.2020 г. частных организаций, оказывающих ритуальные услуги — 4. Доля частных организаций в сфере ритуальных услуг составляет 100%</w:t>
            </w:r>
          </w:p>
        </w:tc>
        <w:tc>
          <w:tcPr>
            <w:tcW w:w="2220" w:type="dxa"/>
            <w:tcBorders>
              <w:top w:val="nil"/>
            </w:tcBorders>
            <w:shd w:fill="auto" w:val="clear"/>
            <w:vAlign w:val="center"/>
          </w:tcPr>
          <w:p>
            <w:pPr>
              <w:pStyle w:val="Default"/>
              <w:suppressAutoHyphens w:val="true"/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/>
                <w:b w:val="false"/>
                <w:bCs w:val="false"/>
                <w:sz w:val="24"/>
                <w:szCs w:val="24"/>
              </w:rPr>
              <w:t>Отдел экономики и труда Администрации района</w:t>
            </w:r>
          </w:p>
        </w:tc>
      </w:tr>
    </w:tbl>
    <w:p>
      <w:pPr>
        <w:pStyle w:val="Default"/>
        <w:suppressAutoHyphens w:val="true"/>
        <w:jc w:val="center"/>
        <w:rPr>
          <w:b/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</w:r>
    </w:p>
    <w:p>
      <w:pPr>
        <w:pStyle w:val="Default"/>
        <w:suppressAutoHyphens w:val="true"/>
        <w:rPr/>
      </w:pPr>
      <w:r>
        <w:rPr>
          <w:b/>
          <w:bCs/>
          <w:color w:val="auto"/>
          <w:sz w:val="26"/>
          <w:szCs w:val="26"/>
        </w:rPr>
        <w:t xml:space="preserve">                                                  </w:t>
      </w:r>
    </w:p>
    <w:p>
      <w:pPr>
        <w:pStyle w:val="Default"/>
        <w:suppressAutoHyphens w:val="true"/>
        <w:rPr>
          <w:b/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</w:r>
    </w:p>
    <w:p>
      <w:pPr>
        <w:pStyle w:val="Default"/>
        <w:suppressAutoHyphens w:val="true"/>
        <w:rPr/>
      </w:pPr>
      <w:r>
        <w:rPr>
          <w:b/>
          <w:bCs/>
          <w:color w:val="auto"/>
          <w:sz w:val="26"/>
          <w:szCs w:val="26"/>
        </w:rPr>
        <w:t xml:space="preserve">                                                            </w:t>
      </w:r>
      <w:r>
        <w:rPr>
          <w:b/>
          <w:bCs/>
          <w:color w:val="auto"/>
          <w:sz w:val="26"/>
          <w:szCs w:val="26"/>
        </w:rPr>
        <w:t xml:space="preserve">3. Рынок оказания услуг по ремонту автотранспортных средств </w:t>
      </w:r>
    </w:p>
    <w:p>
      <w:pPr>
        <w:pStyle w:val="Default"/>
        <w:suppressAutoHyphens w:val="true"/>
        <w:jc w:val="center"/>
        <w:rPr>
          <w:bCs/>
          <w:color w:val="auto"/>
          <w:sz w:val="26"/>
          <w:szCs w:val="26"/>
        </w:rPr>
      </w:pPr>
      <w:r>
        <w:rPr>
          <w:bCs/>
          <w:color w:val="auto"/>
          <w:sz w:val="26"/>
          <w:szCs w:val="26"/>
        </w:rPr>
      </w:r>
    </w:p>
    <w:tbl>
      <w:tblPr>
        <w:tblStyle w:val="ae"/>
        <w:tblW w:w="16018" w:type="dxa"/>
        <w:jc w:val="left"/>
        <w:tblInd w:w="-46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945"/>
        <w:gridCol w:w="1985"/>
        <w:gridCol w:w="1984"/>
        <w:gridCol w:w="5103"/>
      </w:tblGrid>
      <w:tr>
        <w:trPr>
          <w:trHeight w:val="515" w:hRule="atLeast"/>
        </w:trPr>
        <w:tc>
          <w:tcPr>
            <w:tcW w:w="6945" w:type="dxa"/>
            <w:vMerge w:val="restart"/>
            <w:tcBorders/>
            <w:shd w:fill="auto" w:val="clear"/>
          </w:tcPr>
          <w:p>
            <w:pPr>
              <w:pStyle w:val="Default"/>
              <w:suppressAutoHyphens w:val="true"/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eastAsia="Times New Roman"/>
                <w:b/>
                <w:bCs/>
              </w:rPr>
              <w:t>Наименование показателя</w:t>
            </w:r>
          </w:p>
        </w:tc>
        <w:tc>
          <w:tcPr>
            <w:tcW w:w="3969" w:type="dxa"/>
            <w:gridSpan w:val="2"/>
            <w:tcBorders/>
            <w:shd w:fill="auto" w:val="clear"/>
          </w:tcPr>
          <w:p>
            <w:pPr>
              <w:pStyle w:val="Default"/>
              <w:suppressAutoHyphens w:val="true"/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eastAsia="Times New Roman"/>
                <w:bCs/>
                <w:color w:val="auto"/>
                <w:sz w:val="26"/>
                <w:szCs w:val="26"/>
              </w:rPr>
              <w:t>Индикаторы</w:t>
            </w:r>
          </w:p>
        </w:tc>
        <w:tc>
          <w:tcPr>
            <w:tcW w:w="5103" w:type="dxa"/>
            <w:vMerge w:val="restart"/>
            <w:tcBorders/>
            <w:shd w:fill="auto" w:val="clear"/>
          </w:tcPr>
          <w:p>
            <w:pPr>
              <w:pStyle w:val="Default"/>
              <w:suppressAutoHyphens w:val="true"/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eastAsia="Times New Roman"/>
                <w:b/>
                <w:bCs/>
              </w:rPr>
              <w:t>Ответственные исполнители</w:t>
            </w:r>
          </w:p>
        </w:tc>
      </w:tr>
      <w:tr>
        <w:trPr>
          <w:trHeight w:val="514" w:hRule="atLeast"/>
        </w:trPr>
        <w:tc>
          <w:tcPr>
            <w:tcW w:w="6945" w:type="dxa"/>
            <w:vMerge w:val="continue"/>
            <w:tcBorders/>
            <w:shd w:fill="auto" w:val="clear"/>
          </w:tcPr>
          <w:p>
            <w:pPr>
              <w:pStyle w:val="Default"/>
              <w:suppressAutoHyphens w:val="true"/>
              <w:jc w:val="center"/>
              <w:rPr>
                <w:rFonts w:ascii="Times New Roman" w:hAnsi="Times New Roman" w:eastAsia="Times New Roman"/>
                <w:b/>
                <w:b/>
                <w:bCs/>
              </w:rPr>
            </w:pPr>
            <w:r>
              <w:rPr>
                <w:rFonts w:eastAsia="Times New Roman"/>
                <w:b/>
                <w:bCs/>
              </w:rPr>
            </w:r>
          </w:p>
        </w:tc>
        <w:tc>
          <w:tcPr>
            <w:tcW w:w="1985" w:type="dxa"/>
            <w:tcBorders/>
            <w:shd w:fill="auto" w:val="clear"/>
          </w:tcPr>
          <w:p>
            <w:pPr>
              <w:pStyle w:val="Default"/>
              <w:suppressAutoHyphens w:val="true"/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eastAsia="Times New Roman"/>
                <w:b/>
                <w:bCs/>
              </w:rPr>
              <w:t>План</w:t>
            </w:r>
          </w:p>
        </w:tc>
        <w:tc>
          <w:tcPr>
            <w:tcW w:w="1984" w:type="dxa"/>
            <w:tcBorders/>
            <w:shd w:fill="auto" w:val="clear"/>
          </w:tcPr>
          <w:p>
            <w:pPr>
              <w:pStyle w:val="Default"/>
              <w:suppressAutoHyphens w:val="true"/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eastAsia="Times New Roman"/>
                <w:b/>
                <w:bCs/>
              </w:rPr>
              <w:t>Факт</w:t>
            </w:r>
          </w:p>
        </w:tc>
        <w:tc>
          <w:tcPr>
            <w:tcW w:w="5103" w:type="dxa"/>
            <w:vMerge w:val="continue"/>
            <w:tcBorders/>
            <w:shd w:fill="auto" w:val="clear"/>
          </w:tcPr>
          <w:p>
            <w:pPr>
              <w:pStyle w:val="Default"/>
              <w:suppressAutoHyphens w:val="true"/>
              <w:jc w:val="center"/>
              <w:rPr>
                <w:rFonts w:ascii="Times New Roman" w:hAnsi="Times New Roman" w:eastAsia="Times New Roman"/>
                <w:b/>
                <w:b/>
                <w:bCs/>
              </w:rPr>
            </w:pPr>
            <w:r>
              <w:rPr>
                <w:rFonts w:eastAsia="Times New Roman"/>
                <w:b/>
                <w:bCs/>
              </w:rPr>
            </w:r>
          </w:p>
        </w:tc>
      </w:tr>
      <w:tr>
        <w:trPr>
          <w:trHeight w:val="611" w:hRule="atLeast"/>
        </w:trPr>
        <w:tc>
          <w:tcPr>
            <w:tcW w:w="6945" w:type="dxa"/>
            <w:tcBorders/>
            <w:shd w:fill="auto" w:val="clear"/>
          </w:tcPr>
          <w:p>
            <w:pPr>
              <w:pStyle w:val="Default"/>
              <w:suppressAutoHyphens w:val="true"/>
              <w:jc w:val="both"/>
              <w:rPr>
                <w:rFonts w:ascii="Times New Roman" w:hAnsi="Times New Roman" w:eastAsia="Times New Roman"/>
                <w:b w:val="false"/>
                <w:b w:val="false"/>
                <w:bCs w:val="false"/>
              </w:rPr>
            </w:pPr>
            <w:r>
              <w:rPr>
                <w:rFonts w:eastAsia="Times New Roman"/>
                <w:b w:val="false"/>
                <w:bCs w:val="false"/>
              </w:rPr>
              <w:t>Доля организаций частной формы собственности в сфере оказания услуг по ремонту автотранспортных средств</w:t>
            </w:r>
          </w:p>
        </w:tc>
        <w:tc>
          <w:tcPr>
            <w:tcW w:w="1985" w:type="dxa"/>
            <w:tcBorders/>
            <w:shd w:fill="auto" w:val="clear"/>
          </w:tcPr>
          <w:p>
            <w:pPr>
              <w:pStyle w:val="Default"/>
              <w:suppressAutoHyphens w:val="true"/>
              <w:jc w:val="center"/>
              <w:rPr/>
            </w:pPr>
            <w:r>
              <w:rPr>
                <w:rFonts w:eastAsia="Times New Roman"/>
                <w:bCs/>
              </w:rPr>
              <w:t>2019г – 3</w:t>
            </w:r>
          </w:p>
          <w:p>
            <w:pPr>
              <w:pStyle w:val="Default"/>
              <w:suppressAutoHyphens w:val="true"/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eastAsia="Times New Roman"/>
                <w:bCs/>
              </w:rPr>
              <w:t>100%</w:t>
            </w:r>
          </w:p>
        </w:tc>
        <w:tc>
          <w:tcPr>
            <w:tcW w:w="1984" w:type="dxa"/>
            <w:tcBorders/>
            <w:shd w:fill="auto" w:val="clear"/>
          </w:tcPr>
          <w:p>
            <w:pPr>
              <w:pStyle w:val="Default"/>
              <w:suppressAutoHyphens w:val="true"/>
              <w:jc w:val="center"/>
              <w:rPr/>
            </w:pPr>
            <w:r>
              <w:rPr>
                <w:rFonts w:eastAsia="Times New Roman"/>
                <w:bCs/>
              </w:rPr>
              <w:t xml:space="preserve">2019г — </w:t>
            </w:r>
            <w:r>
              <w:rPr>
                <w:rFonts w:eastAsia="Times New Roman"/>
                <w:bCs/>
                <w:highlight w:val="white"/>
              </w:rPr>
              <w:t>3</w:t>
            </w:r>
          </w:p>
          <w:p>
            <w:pPr>
              <w:pStyle w:val="Default"/>
              <w:suppressAutoHyphens w:val="true"/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eastAsia="Times New Roman"/>
                <w:bCs/>
                <w:highlight w:val="white"/>
              </w:rPr>
              <w:t>100%</w:t>
            </w:r>
          </w:p>
        </w:tc>
        <w:tc>
          <w:tcPr>
            <w:tcW w:w="5103" w:type="dxa"/>
            <w:tcBorders/>
            <w:shd w:fill="auto" w:val="clear"/>
          </w:tcPr>
          <w:p>
            <w:pPr>
              <w:pStyle w:val="Default"/>
              <w:suppressAutoHyphens w:val="true"/>
              <w:jc w:val="center"/>
              <w:rPr>
                <w:rFonts w:ascii="Times New Roman" w:hAnsi="Times New Roman" w:eastAsia="Times New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eastAsia="Times New Roman"/>
                <w:b w:val="false"/>
                <w:bCs w:val="false"/>
                <w:sz w:val="24"/>
                <w:szCs w:val="24"/>
              </w:rPr>
              <w:t>Отдел экономики и труда Администрации района</w:t>
            </w:r>
          </w:p>
        </w:tc>
      </w:tr>
    </w:tbl>
    <w:p>
      <w:pPr>
        <w:pStyle w:val="Default"/>
        <w:suppressAutoHyphens w:val="true"/>
        <w:jc w:val="center"/>
        <w:rPr>
          <w:bCs/>
          <w:color w:val="auto"/>
          <w:sz w:val="26"/>
          <w:szCs w:val="26"/>
        </w:rPr>
      </w:pPr>
      <w:r>
        <w:rPr>
          <w:bCs/>
          <w:color w:val="auto"/>
          <w:sz w:val="26"/>
          <w:szCs w:val="26"/>
        </w:rPr>
      </w:r>
    </w:p>
    <w:tbl>
      <w:tblPr>
        <w:tblStyle w:val="ae"/>
        <w:tblW w:w="15977" w:type="dxa"/>
        <w:jc w:val="center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701"/>
        <w:gridCol w:w="6677"/>
        <w:gridCol w:w="1800"/>
        <w:gridCol w:w="4578"/>
        <w:gridCol w:w="2221"/>
      </w:tblGrid>
      <w:tr>
        <w:trPr>
          <w:tblHeader w:val="true"/>
          <w:trHeight w:val="960" w:hRule="atLeast"/>
        </w:trPr>
        <w:tc>
          <w:tcPr>
            <w:tcW w:w="701" w:type="dxa"/>
            <w:tcBorders/>
            <w:shd w:fill="auto" w:val="clear"/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eastAsia="Times New Roman" w:ascii="Times New Roman" w:hAnsi="Times New Roman"/>
                <w:b/>
                <w:bCs/>
                <w:sz w:val="24"/>
                <w:szCs w:val="24"/>
              </w:rPr>
              <w:t xml:space="preserve">№ </w:t>
            </w:r>
            <w:r>
              <w:rPr>
                <w:rFonts w:eastAsia="Times New Roman" w:ascii="Times New Roman" w:hAnsi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6677" w:type="dxa"/>
            <w:tcBorders/>
            <w:shd w:fill="auto" w:val="clear"/>
            <w:vAlign w:val="center"/>
          </w:tcPr>
          <w:p>
            <w:pPr>
              <w:pStyle w:val="NoSpacing"/>
              <w:suppressAutoHyphens w:val="true"/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eastAsia="Times New Roman" w:ascii="Times New Roman" w:hAnsi="Times New Roman"/>
                <w:b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800" w:type="dxa"/>
            <w:tcBorders/>
            <w:shd w:fill="auto" w:val="clear"/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eastAsia="Times New Roman" w:ascii="Times New Roman" w:hAnsi="Times New Roman"/>
                <w:b/>
                <w:bCs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4578" w:type="dxa"/>
            <w:tcBorders/>
            <w:shd w:fill="auto" w:val="clear"/>
          </w:tcPr>
          <w:p>
            <w:pPr>
              <w:pStyle w:val="NoSpacing"/>
              <w:suppressAutoHyphens w:val="true"/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eastAsia="Times New Roman" w:ascii="Times New Roman" w:hAnsi="Times New Roman"/>
                <w:b/>
                <w:bCs/>
                <w:sz w:val="24"/>
                <w:szCs w:val="24"/>
              </w:rPr>
              <w:t>Отчет об исполнении мероприятия</w:t>
            </w:r>
          </w:p>
        </w:tc>
        <w:tc>
          <w:tcPr>
            <w:tcW w:w="2221" w:type="dxa"/>
            <w:tcBorders/>
            <w:shd w:fill="auto" w:val="clear"/>
            <w:vAlign w:val="center"/>
          </w:tcPr>
          <w:p>
            <w:pPr>
              <w:pStyle w:val="NoSpacing"/>
              <w:suppressAutoHyphens w:val="true"/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eastAsia="Times New Roman" w:ascii="Times New Roman" w:hAnsi="Times New Roman"/>
                <w:b/>
                <w:bCs/>
                <w:sz w:val="24"/>
                <w:szCs w:val="24"/>
              </w:rPr>
              <w:t>Ответственные исполнители</w:t>
            </w:r>
          </w:p>
        </w:tc>
      </w:tr>
      <w:tr>
        <w:trPr>
          <w:trHeight w:val="610" w:hRule="atLeast"/>
        </w:trPr>
        <w:tc>
          <w:tcPr>
            <w:tcW w:w="701" w:type="dxa"/>
            <w:tcBorders/>
            <w:shd w:fill="auto" w:val="clear"/>
            <w:vAlign w:val="center"/>
          </w:tcPr>
          <w:p>
            <w:pPr>
              <w:pStyle w:val="NoSpacing"/>
              <w:jc w:val="center"/>
              <w:rPr/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6677" w:type="dxa"/>
            <w:tcBorders/>
            <w:shd w:fill="auto" w:val="clear"/>
            <w:vAlign w:val="center"/>
          </w:tcPr>
          <w:p>
            <w:pPr>
              <w:pStyle w:val="NoSpacing"/>
              <w:jc w:val="both"/>
              <w:rPr/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Проведение мониторинга состояния рынка оказания услуг по ремонту автотранспортных средств в Мантуровском районе Курской области</w:t>
            </w:r>
          </w:p>
        </w:tc>
        <w:tc>
          <w:tcPr>
            <w:tcW w:w="1800" w:type="dxa"/>
            <w:tcBorders/>
            <w:shd w:fill="auto" w:val="clear"/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2019-2021 г.г.</w:t>
            </w:r>
          </w:p>
        </w:tc>
        <w:tc>
          <w:tcPr>
            <w:tcW w:w="4578" w:type="dxa"/>
            <w:tcBorders/>
            <w:shd w:fill="auto" w:val="clear"/>
          </w:tcPr>
          <w:p>
            <w:pPr>
              <w:pStyle w:val="NoSpacing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 xml:space="preserve">По итогам проведенного мониторинга на 01.01.2020 года 3 частных организации оказывают услуги по ремонту автотранспортных средств, доля участия частных предприятий составляет 100% </w:t>
            </w:r>
          </w:p>
        </w:tc>
        <w:tc>
          <w:tcPr>
            <w:tcW w:w="2221" w:type="dxa"/>
            <w:tcBorders/>
            <w:shd w:fill="auto" w:val="clear"/>
            <w:vAlign w:val="center"/>
          </w:tcPr>
          <w:p>
            <w:pPr>
              <w:pStyle w:val="Default"/>
              <w:suppressAutoHyphens w:val="true"/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/>
                <w:b w:val="false"/>
                <w:bCs w:val="false"/>
                <w:sz w:val="24"/>
                <w:szCs w:val="24"/>
              </w:rPr>
              <w:t>Отдел экономики и труда Администрации района</w:t>
            </w:r>
          </w:p>
        </w:tc>
      </w:tr>
      <w:tr>
        <w:trPr>
          <w:trHeight w:val="610" w:hRule="atLeast"/>
        </w:trPr>
        <w:tc>
          <w:tcPr>
            <w:tcW w:w="701" w:type="dxa"/>
            <w:tcBorders>
              <w:top w:val="nil"/>
            </w:tcBorders>
            <w:shd w:fill="auto" w:val="clear"/>
            <w:vAlign w:val="center"/>
          </w:tcPr>
          <w:p>
            <w:pPr>
              <w:pStyle w:val="NoSpacing"/>
              <w:jc w:val="center"/>
              <w:rPr/>
            </w:pPr>
            <w:r>
              <w:rPr/>
              <w:t>3.2.</w:t>
            </w:r>
          </w:p>
        </w:tc>
        <w:tc>
          <w:tcPr>
            <w:tcW w:w="6677" w:type="dxa"/>
            <w:tcBorders>
              <w:top w:val="nil"/>
            </w:tcBorders>
            <w:shd w:fill="auto" w:val="clear"/>
            <w:vAlign w:val="center"/>
          </w:tcPr>
          <w:p>
            <w:pPr>
              <w:pStyle w:val="NoSpacing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Оказание консультационной и методической поддержки хозяйствующим субъектам, открывающим объекты по ремонту автотранспортных средств на территории Мантуровского района</w:t>
            </w:r>
          </w:p>
        </w:tc>
        <w:tc>
          <w:tcPr>
            <w:tcW w:w="1800" w:type="dxa"/>
            <w:tcBorders>
              <w:top w:val="nil"/>
            </w:tcBorders>
            <w:shd w:fill="auto" w:val="clear"/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2019-2021 г.г.</w:t>
            </w:r>
          </w:p>
        </w:tc>
        <w:tc>
          <w:tcPr>
            <w:tcW w:w="4578" w:type="dxa"/>
            <w:tcBorders>
              <w:top w:val="nil"/>
            </w:tcBorders>
            <w:shd w:fill="auto" w:val="clear"/>
          </w:tcPr>
          <w:p>
            <w:pPr>
              <w:pStyle w:val="NoSpacing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В 2019 году за оказанием консультативной помощи и методической поддержки обращений не поступало</w:t>
            </w:r>
          </w:p>
        </w:tc>
        <w:tc>
          <w:tcPr>
            <w:tcW w:w="2221" w:type="dxa"/>
            <w:tcBorders>
              <w:top w:val="nil"/>
            </w:tcBorders>
            <w:shd w:fill="auto" w:val="clear"/>
            <w:vAlign w:val="center"/>
          </w:tcPr>
          <w:p>
            <w:pPr>
              <w:pStyle w:val="Default"/>
              <w:suppressAutoHyphens w:val="true"/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/>
                <w:b w:val="false"/>
                <w:bCs w:val="false"/>
                <w:sz w:val="24"/>
                <w:szCs w:val="24"/>
              </w:rPr>
              <w:t>Отдел экономики и труда Администрации района</w:t>
            </w:r>
          </w:p>
        </w:tc>
      </w:tr>
      <w:tr>
        <w:trPr>
          <w:trHeight w:val="610" w:hRule="atLeast"/>
        </w:trPr>
        <w:tc>
          <w:tcPr>
            <w:tcW w:w="701" w:type="dxa"/>
            <w:tcBorders>
              <w:top w:val="nil"/>
            </w:tcBorders>
            <w:shd w:fill="auto" w:val="clear"/>
            <w:vAlign w:val="center"/>
          </w:tcPr>
          <w:p>
            <w:pPr>
              <w:pStyle w:val="NoSpacing"/>
              <w:jc w:val="center"/>
              <w:rPr/>
            </w:pPr>
            <w:r>
              <w:rPr/>
              <w:t>3.3.</w:t>
            </w:r>
          </w:p>
        </w:tc>
        <w:tc>
          <w:tcPr>
            <w:tcW w:w="6677" w:type="dxa"/>
            <w:tcBorders>
              <w:top w:val="nil"/>
            </w:tcBorders>
            <w:shd w:fill="auto" w:val="clear"/>
            <w:vAlign w:val="center"/>
          </w:tcPr>
          <w:p>
            <w:pPr>
              <w:pStyle w:val="NoSpacing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Проведение семинаров, «круглых столов», направленных на выработку согласованных комплексных подходов к решению задач, связанных с развитием рынка ремонта автотранспортных средств</w:t>
            </w:r>
          </w:p>
        </w:tc>
        <w:tc>
          <w:tcPr>
            <w:tcW w:w="1800" w:type="dxa"/>
            <w:tcBorders>
              <w:top w:val="nil"/>
            </w:tcBorders>
            <w:shd w:fill="auto" w:val="clear"/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2019-2021 г.г.</w:t>
            </w:r>
          </w:p>
        </w:tc>
        <w:tc>
          <w:tcPr>
            <w:tcW w:w="4578" w:type="dxa"/>
            <w:tcBorders>
              <w:top w:val="nil"/>
            </w:tcBorders>
            <w:shd w:fill="auto" w:val="clear"/>
          </w:tcPr>
          <w:p>
            <w:pPr>
              <w:pStyle w:val="NoSpacing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eastAsia="Times New Roman" w:ascii="Times New Roman" w:hAnsi="Times New Roman"/>
                <w:sz w:val="24"/>
                <w:szCs w:val="24"/>
              </w:rPr>
              <w:t>В 2019 году с участием областных структур было проведено 2 семинара с СМСП. Проблемы по оказанию услуг по ремонту автотранспортных средств отсутствуют</w:t>
            </w:r>
          </w:p>
        </w:tc>
        <w:tc>
          <w:tcPr>
            <w:tcW w:w="2221" w:type="dxa"/>
            <w:tcBorders>
              <w:top w:val="nil"/>
            </w:tcBorders>
            <w:shd w:fill="auto" w:val="clear"/>
            <w:vAlign w:val="center"/>
          </w:tcPr>
          <w:p>
            <w:pPr>
              <w:pStyle w:val="Default"/>
              <w:suppressAutoHyphens w:val="true"/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/>
                <w:b w:val="false"/>
                <w:bCs w:val="false"/>
                <w:sz w:val="24"/>
                <w:szCs w:val="24"/>
              </w:rPr>
              <w:t>Отдел экономики и труда Администрации района</w:t>
            </w:r>
          </w:p>
        </w:tc>
      </w:tr>
    </w:tbl>
    <w:p>
      <w:pPr>
        <w:pStyle w:val="Default"/>
        <w:suppressAutoHyphens w:val="true"/>
        <w:jc w:val="center"/>
        <w:rPr/>
      </w:pPr>
      <w:r>
        <w:rPr>
          <w:b/>
          <w:sz w:val="26"/>
          <w:szCs w:val="26"/>
        </w:rPr>
        <w:t xml:space="preserve">4. Рынок </w:t>
      </w:r>
      <w:r>
        <w:rPr>
          <w:b/>
          <w:bCs/>
          <w:color w:val="auto"/>
          <w:sz w:val="26"/>
          <w:szCs w:val="26"/>
        </w:rPr>
        <w:t>оказания услуг по перевозке пассажиров автомобильным транспортом по межмуниципальным маршрутам регулярных перевозок</w:t>
      </w:r>
    </w:p>
    <w:p>
      <w:pPr>
        <w:pStyle w:val="Default"/>
        <w:suppressAutoHyphens w:val="true"/>
        <w:jc w:val="center"/>
        <w:rPr>
          <w:bCs/>
          <w:color w:val="auto"/>
          <w:sz w:val="26"/>
          <w:szCs w:val="26"/>
        </w:rPr>
      </w:pPr>
      <w:r>
        <w:rPr>
          <w:bCs/>
          <w:color w:val="auto"/>
          <w:sz w:val="26"/>
          <w:szCs w:val="26"/>
        </w:rPr>
      </w:r>
    </w:p>
    <w:tbl>
      <w:tblPr>
        <w:tblStyle w:val="ae"/>
        <w:tblW w:w="16018" w:type="dxa"/>
        <w:jc w:val="left"/>
        <w:tblInd w:w="-46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945"/>
        <w:gridCol w:w="1985"/>
        <w:gridCol w:w="1984"/>
        <w:gridCol w:w="5103"/>
      </w:tblGrid>
      <w:tr>
        <w:trPr>
          <w:trHeight w:val="515" w:hRule="atLeast"/>
        </w:trPr>
        <w:tc>
          <w:tcPr>
            <w:tcW w:w="6945" w:type="dxa"/>
            <w:vMerge w:val="restart"/>
            <w:tcBorders/>
            <w:shd w:fill="auto" w:val="clear"/>
          </w:tcPr>
          <w:p>
            <w:pPr>
              <w:pStyle w:val="Default"/>
              <w:suppressAutoHyphens w:val="true"/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eastAsia="Times New Roman"/>
                <w:b/>
                <w:bCs/>
              </w:rPr>
              <w:t>Наименование показателя</w:t>
            </w:r>
          </w:p>
        </w:tc>
        <w:tc>
          <w:tcPr>
            <w:tcW w:w="3969" w:type="dxa"/>
            <w:gridSpan w:val="2"/>
            <w:tcBorders/>
            <w:shd w:fill="auto" w:val="clear"/>
          </w:tcPr>
          <w:p>
            <w:pPr>
              <w:pStyle w:val="Default"/>
              <w:suppressAutoHyphens w:val="true"/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eastAsia="Times New Roman"/>
                <w:bCs/>
                <w:color w:val="auto"/>
                <w:sz w:val="26"/>
                <w:szCs w:val="26"/>
              </w:rPr>
              <w:t>Индикаторы</w:t>
            </w:r>
          </w:p>
        </w:tc>
        <w:tc>
          <w:tcPr>
            <w:tcW w:w="5103" w:type="dxa"/>
            <w:vMerge w:val="restart"/>
            <w:tcBorders/>
            <w:shd w:fill="auto" w:val="clear"/>
          </w:tcPr>
          <w:p>
            <w:pPr>
              <w:pStyle w:val="Default"/>
              <w:suppressAutoHyphens w:val="true"/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eastAsia="Times New Roman"/>
                <w:b/>
                <w:bCs/>
              </w:rPr>
              <w:t>Ответственные исполнители</w:t>
            </w:r>
          </w:p>
        </w:tc>
      </w:tr>
      <w:tr>
        <w:trPr>
          <w:trHeight w:val="514" w:hRule="atLeast"/>
        </w:trPr>
        <w:tc>
          <w:tcPr>
            <w:tcW w:w="6945" w:type="dxa"/>
            <w:vMerge w:val="continue"/>
            <w:tcBorders/>
            <w:shd w:fill="auto" w:val="clear"/>
          </w:tcPr>
          <w:p>
            <w:pPr>
              <w:pStyle w:val="Default"/>
              <w:suppressAutoHyphens w:val="true"/>
              <w:jc w:val="center"/>
              <w:rPr>
                <w:rFonts w:ascii="Times New Roman" w:hAnsi="Times New Roman" w:eastAsia="Times New Roman"/>
                <w:b/>
                <w:b/>
                <w:bCs/>
              </w:rPr>
            </w:pPr>
            <w:r>
              <w:rPr>
                <w:rFonts w:eastAsia="Times New Roman"/>
                <w:b/>
                <w:bCs/>
              </w:rPr>
            </w:r>
          </w:p>
        </w:tc>
        <w:tc>
          <w:tcPr>
            <w:tcW w:w="1985" w:type="dxa"/>
            <w:tcBorders/>
            <w:shd w:fill="auto" w:val="clear"/>
          </w:tcPr>
          <w:p>
            <w:pPr>
              <w:pStyle w:val="Default"/>
              <w:suppressAutoHyphens w:val="true"/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eastAsia="Times New Roman"/>
                <w:b/>
                <w:bCs/>
              </w:rPr>
              <w:t>План</w:t>
            </w:r>
          </w:p>
        </w:tc>
        <w:tc>
          <w:tcPr>
            <w:tcW w:w="1984" w:type="dxa"/>
            <w:tcBorders/>
            <w:shd w:fill="auto" w:val="clear"/>
          </w:tcPr>
          <w:p>
            <w:pPr>
              <w:pStyle w:val="Default"/>
              <w:suppressAutoHyphens w:val="true"/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eastAsia="Times New Roman"/>
                <w:b/>
                <w:bCs/>
              </w:rPr>
              <w:t>Факт</w:t>
            </w:r>
          </w:p>
        </w:tc>
        <w:tc>
          <w:tcPr>
            <w:tcW w:w="5103" w:type="dxa"/>
            <w:vMerge w:val="continue"/>
            <w:tcBorders/>
            <w:shd w:fill="auto" w:val="clear"/>
          </w:tcPr>
          <w:p>
            <w:pPr>
              <w:pStyle w:val="Default"/>
              <w:suppressAutoHyphens w:val="true"/>
              <w:jc w:val="center"/>
              <w:rPr>
                <w:rFonts w:ascii="Times New Roman" w:hAnsi="Times New Roman" w:eastAsia="Times New Roman"/>
                <w:b/>
                <w:b/>
                <w:bCs/>
              </w:rPr>
            </w:pPr>
            <w:r>
              <w:rPr>
                <w:rFonts w:eastAsia="Times New Roman"/>
                <w:b/>
                <w:bCs/>
              </w:rPr>
            </w:r>
          </w:p>
        </w:tc>
      </w:tr>
      <w:tr>
        <w:trPr>
          <w:trHeight w:val="611" w:hRule="atLeast"/>
        </w:trPr>
        <w:tc>
          <w:tcPr>
            <w:tcW w:w="6945" w:type="dxa"/>
            <w:tcBorders/>
            <w:shd w:fill="auto" w:val="clear"/>
          </w:tcPr>
          <w:p>
            <w:pPr>
              <w:pStyle w:val="Default"/>
              <w:suppressAutoHyphens w:val="true"/>
              <w:jc w:val="both"/>
              <w:rPr/>
            </w:pPr>
            <w:r>
              <w:rPr>
                <w:rFonts w:eastAsia="Times New Roman"/>
                <w:b w:val="false"/>
                <w:bCs w:val="false"/>
              </w:rPr>
              <w:t>Доля услуг по перевозке пассажиров автомобильным транспортом по межмуниципальным маршрутам</w:t>
            </w:r>
          </w:p>
        </w:tc>
        <w:tc>
          <w:tcPr>
            <w:tcW w:w="1985" w:type="dxa"/>
            <w:tcBorders/>
            <w:shd w:fill="auto" w:val="clear"/>
          </w:tcPr>
          <w:p>
            <w:pPr>
              <w:pStyle w:val="Default"/>
              <w:suppressAutoHyphens w:val="true"/>
              <w:jc w:val="center"/>
              <w:rPr/>
            </w:pPr>
            <w:r>
              <w:rPr>
                <w:rFonts w:eastAsia="Times New Roman"/>
                <w:bCs/>
              </w:rPr>
              <w:t>2019г –1</w:t>
            </w:r>
          </w:p>
          <w:p>
            <w:pPr>
              <w:pStyle w:val="Default"/>
              <w:suppressAutoHyphens w:val="true"/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eastAsia="Times New Roman"/>
                <w:bCs/>
              </w:rPr>
              <w:t>100%</w:t>
            </w:r>
          </w:p>
        </w:tc>
        <w:tc>
          <w:tcPr>
            <w:tcW w:w="1984" w:type="dxa"/>
            <w:tcBorders/>
            <w:shd w:fill="auto" w:val="clear"/>
          </w:tcPr>
          <w:p>
            <w:pPr>
              <w:pStyle w:val="Default"/>
              <w:suppressAutoHyphens w:val="true"/>
              <w:jc w:val="center"/>
              <w:rPr/>
            </w:pPr>
            <w:r>
              <w:rPr>
                <w:rFonts w:eastAsia="Times New Roman"/>
                <w:bCs/>
              </w:rPr>
              <w:t xml:space="preserve">2019г — </w:t>
            </w:r>
            <w:r>
              <w:rPr>
                <w:rFonts w:eastAsia="Times New Roman"/>
                <w:bCs/>
                <w:highlight w:val="white"/>
              </w:rPr>
              <w:t>1</w:t>
            </w:r>
          </w:p>
          <w:p>
            <w:pPr>
              <w:pStyle w:val="Default"/>
              <w:suppressAutoHyphens w:val="true"/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eastAsia="Times New Roman"/>
                <w:bCs/>
                <w:highlight w:val="white"/>
              </w:rPr>
              <w:t>100%</w:t>
            </w:r>
          </w:p>
        </w:tc>
        <w:tc>
          <w:tcPr>
            <w:tcW w:w="5103" w:type="dxa"/>
            <w:tcBorders/>
            <w:shd w:fill="auto" w:val="clear"/>
          </w:tcPr>
          <w:p>
            <w:pPr>
              <w:pStyle w:val="Default"/>
              <w:suppressAutoHyphens w:val="true"/>
              <w:jc w:val="center"/>
              <w:rPr>
                <w:rFonts w:ascii="Times New Roman" w:hAnsi="Times New Roman" w:eastAsia="Times New Roman"/>
                <w:b w:val="false"/>
                <w:b w:val="false"/>
                <w:bCs w:val="false"/>
                <w:sz w:val="24"/>
                <w:szCs w:val="24"/>
              </w:rPr>
            </w:pPr>
            <w:bookmarkStart w:id="2" w:name="__DdeLink__513_1133620296"/>
            <w:r>
              <w:rPr>
                <w:rFonts w:eastAsia="Times New Roman"/>
                <w:b w:val="false"/>
                <w:bCs w:val="false"/>
                <w:sz w:val="24"/>
                <w:szCs w:val="24"/>
              </w:rPr>
              <w:t>Отдел экономики и труда Администрации района</w:t>
            </w:r>
            <w:bookmarkEnd w:id="2"/>
          </w:p>
        </w:tc>
      </w:tr>
    </w:tbl>
    <w:p>
      <w:pPr>
        <w:pStyle w:val="Default"/>
        <w:suppressAutoHyphens w:val="true"/>
        <w:jc w:val="center"/>
        <w:rPr>
          <w:bCs/>
          <w:color w:val="auto"/>
          <w:sz w:val="26"/>
          <w:szCs w:val="26"/>
        </w:rPr>
      </w:pPr>
      <w:r>
        <w:rPr>
          <w:bCs/>
          <w:color w:val="auto"/>
          <w:sz w:val="26"/>
          <w:szCs w:val="26"/>
        </w:rPr>
      </w:r>
    </w:p>
    <w:tbl>
      <w:tblPr>
        <w:tblStyle w:val="ae"/>
        <w:tblW w:w="15977" w:type="dxa"/>
        <w:jc w:val="center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701"/>
        <w:gridCol w:w="6332"/>
        <w:gridCol w:w="1759"/>
        <w:gridCol w:w="4961"/>
        <w:gridCol w:w="2224"/>
      </w:tblGrid>
      <w:tr>
        <w:trPr>
          <w:tblHeader w:val="true"/>
          <w:trHeight w:val="900" w:hRule="atLeast"/>
        </w:trPr>
        <w:tc>
          <w:tcPr>
            <w:tcW w:w="701" w:type="dxa"/>
            <w:tcBorders/>
            <w:shd w:fill="auto" w:val="clear"/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eastAsia="Times New Roman" w:ascii="Times New Roman" w:hAnsi="Times New Roman"/>
                <w:b/>
                <w:bCs/>
                <w:sz w:val="24"/>
                <w:szCs w:val="24"/>
              </w:rPr>
              <w:t xml:space="preserve">№ </w:t>
            </w:r>
            <w:r>
              <w:rPr>
                <w:rFonts w:eastAsia="Times New Roman" w:ascii="Times New Roman" w:hAnsi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6332" w:type="dxa"/>
            <w:tcBorders/>
            <w:shd w:fill="auto" w:val="clear"/>
            <w:vAlign w:val="center"/>
          </w:tcPr>
          <w:p>
            <w:pPr>
              <w:pStyle w:val="NoSpacing"/>
              <w:suppressAutoHyphens w:val="true"/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eastAsia="Times New Roman" w:ascii="Times New Roman" w:hAnsi="Times New Roman"/>
                <w:b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759" w:type="dxa"/>
            <w:tcBorders/>
            <w:shd w:fill="auto" w:val="clear"/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eastAsia="Times New Roman" w:ascii="Times New Roman" w:hAnsi="Times New Roman"/>
                <w:b/>
                <w:bCs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4961" w:type="dxa"/>
            <w:tcBorders/>
            <w:shd w:fill="auto" w:val="clear"/>
          </w:tcPr>
          <w:p>
            <w:pPr>
              <w:pStyle w:val="NoSpacing"/>
              <w:suppressAutoHyphens w:val="true"/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eastAsia="Times New Roman" w:ascii="Times New Roman" w:hAnsi="Times New Roman"/>
                <w:b/>
                <w:bCs/>
                <w:sz w:val="24"/>
                <w:szCs w:val="24"/>
              </w:rPr>
              <w:t>Отчет об исполнении мероприятия</w:t>
            </w:r>
          </w:p>
        </w:tc>
        <w:tc>
          <w:tcPr>
            <w:tcW w:w="2224" w:type="dxa"/>
            <w:tcBorders/>
            <w:shd w:fill="auto" w:val="clear"/>
            <w:vAlign w:val="center"/>
          </w:tcPr>
          <w:p>
            <w:pPr>
              <w:pStyle w:val="NoSpacing"/>
              <w:suppressAutoHyphens w:val="true"/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eastAsia="Times New Roman" w:ascii="Times New Roman" w:hAnsi="Times New Roman"/>
                <w:b/>
                <w:bCs/>
                <w:sz w:val="24"/>
                <w:szCs w:val="24"/>
              </w:rPr>
              <w:t>Ответственные исполнители</w:t>
            </w:r>
          </w:p>
        </w:tc>
      </w:tr>
      <w:tr>
        <w:trPr>
          <w:trHeight w:val="670" w:hRule="atLeast"/>
        </w:trPr>
        <w:tc>
          <w:tcPr>
            <w:tcW w:w="701" w:type="dxa"/>
            <w:tcBorders/>
            <w:shd w:fill="auto" w:val="clear"/>
            <w:vAlign w:val="center"/>
          </w:tcPr>
          <w:p>
            <w:pPr>
              <w:pStyle w:val="NoSpacing"/>
              <w:jc w:val="center"/>
              <w:rPr/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6332" w:type="dxa"/>
            <w:tcBorders/>
            <w:shd w:fill="auto" w:val="clear"/>
            <w:vAlign w:val="center"/>
          </w:tcPr>
          <w:p>
            <w:pPr>
              <w:pStyle w:val="NoSpacing"/>
              <w:jc w:val="both"/>
              <w:rPr/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Размещение информации о порядке проведения конкурсных процедур на право осуществления перевозок по муниципальным маршрутам Мантуровского района Курской области</w:t>
            </w:r>
          </w:p>
        </w:tc>
        <w:tc>
          <w:tcPr>
            <w:tcW w:w="1759" w:type="dxa"/>
            <w:tcBorders/>
            <w:shd w:fill="auto" w:val="clear"/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2019-2021 г.г.</w:t>
            </w:r>
          </w:p>
        </w:tc>
        <w:tc>
          <w:tcPr>
            <w:tcW w:w="4961" w:type="dxa"/>
            <w:tcBorders/>
            <w:shd w:fill="auto" w:val="clear"/>
          </w:tcPr>
          <w:p>
            <w:pPr>
              <w:pStyle w:val="NoSpacing"/>
              <w:jc w:val="both"/>
              <w:rPr/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На осуществление перевозок по муниципальным маршрутам  проводился аукцион. Вся информация  о конкурсных процедурах размещена в единой информационной системе в сфере закупок. Данные услуги оказываются частным перевозчиком по трем муниципальным маршрутам.</w:t>
            </w:r>
          </w:p>
        </w:tc>
        <w:tc>
          <w:tcPr>
            <w:tcW w:w="2224" w:type="dxa"/>
            <w:tcBorders/>
            <w:shd w:fill="auto" w:val="clear"/>
            <w:vAlign w:val="center"/>
          </w:tcPr>
          <w:p>
            <w:pPr>
              <w:pStyle w:val="Default"/>
              <w:suppressAutoHyphens w:val="true"/>
              <w:jc w:val="center"/>
              <w:rPr/>
            </w:pPr>
            <w:r>
              <w:rPr>
                <w:rFonts w:eastAsia="Times New Roman"/>
                <w:b w:val="false"/>
                <w:bCs w:val="false"/>
                <w:sz w:val="24"/>
                <w:szCs w:val="24"/>
              </w:rPr>
              <w:t>Структурные подразделения Администрации района</w:t>
            </w:r>
          </w:p>
        </w:tc>
      </w:tr>
      <w:tr>
        <w:trPr>
          <w:trHeight w:val="670" w:hRule="atLeast"/>
        </w:trPr>
        <w:tc>
          <w:tcPr>
            <w:tcW w:w="701" w:type="dxa"/>
            <w:tcBorders>
              <w:top w:val="nil"/>
            </w:tcBorders>
            <w:shd w:fill="auto" w:val="clear"/>
            <w:vAlign w:val="center"/>
          </w:tcPr>
          <w:p>
            <w:pPr>
              <w:pStyle w:val="NoSpacing"/>
              <w:jc w:val="center"/>
              <w:rPr/>
            </w:pPr>
            <w:r>
              <w:rPr/>
              <w:t>4.2.</w:t>
            </w:r>
          </w:p>
        </w:tc>
        <w:tc>
          <w:tcPr>
            <w:tcW w:w="6332" w:type="dxa"/>
            <w:tcBorders>
              <w:top w:val="nil"/>
            </w:tcBorders>
            <w:shd w:fill="auto" w:val="clear"/>
            <w:vAlign w:val="center"/>
          </w:tcPr>
          <w:p>
            <w:pPr>
              <w:pStyle w:val="NoSpacing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Разработка документа планирования регулярных автоперевозок пассажиров по муниципальным маршрутам с учетом полученной в ходе анализа информации и внесение соответствующих изменений</w:t>
            </w:r>
          </w:p>
        </w:tc>
        <w:tc>
          <w:tcPr>
            <w:tcW w:w="1759" w:type="dxa"/>
            <w:tcBorders>
              <w:top w:val="nil"/>
            </w:tcBorders>
            <w:shd w:fill="auto" w:val="clear"/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2019-2021 г.г.</w:t>
            </w:r>
          </w:p>
        </w:tc>
        <w:tc>
          <w:tcPr>
            <w:tcW w:w="4961" w:type="dxa"/>
            <w:tcBorders>
              <w:top w:val="nil"/>
            </w:tcBorders>
            <w:shd w:fill="auto" w:val="clear"/>
          </w:tcPr>
          <w:p>
            <w:pPr>
              <w:pStyle w:val="NoSpacing"/>
              <w:jc w:val="both"/>
              <w:rPr/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13.09.2016 № 201 принято постановление Администрации Мантуровского района Курской области  «Об отдельных вопросах организации регулярных перевозок на территории Мантуровского района Курской области. 27.12.2019 № 722 принято постановление Администрации Мантуровского района Курской области «О планируемых регулярных перевозок муниципальных маршрутов на территории Мантуровского района Курской области».</w:t>
            </w:r>
          </w:p>
        </w:tc>
        <w:tc>
          <w:tcPr>
            <w:tcW w:w="2224" w:type="dxa"/>
            <w:tcBorders>
              <w:top w:val="nil"/>
            </w:tcBorders>
            <w:shd w:fill="auto" w:val="clear"/>
            <w:vAlign w:val="center"/>
          </w:tcPr>
          <w:p>
            <w:pPr>
              <w:pStyle w:val="Default"/>
              <w:suppressAutoHyphens w:val="true"/>
              <w:jc w:val="center"/>
              <w:rPr/>
            </w:pPr>
            <w:r>
              <w:rPr>
                <w:rFonts w:eastAsia="Times New Roman"/>
                <w:b w:val="false"/>
                <w:bCs w:val="false"/>
                <w:sz w:val="24"/>
                <w:szCs w:val="24"/>
              </w:rPr>
              <w:t>Структурные подразделения Администрации района</w:t>
            </w:r>
          </w:p>
        </w:tc>
      </w:tr>
      <w:tr>
        <w:trPr>
          <w:trHeight w:val="670" w:hRule="atLeast"/>
        </w:trPr>
        <w:tc>
          <w:tcPr>
            <w:tcW w:w="701" w:type="dxa"/>
            <w:tcBorders>
              <w:top w:val="nil"/>
            </w:tcBorders>
            <w:shd w:fill="auto" w:val="clear"/>
            <w:vAlign w:val="center"/>
          </w:tcPr>
          <w:p>
            <w:pPr>
              <w:pStyle w:val="NoSpacing"/>
              <w:jc w:val="center"/>
              <w:rPr/>
            </w:pPr>
            <w:r>
              <w:rPr/>
              <w:t>4.3.</w:t>
            </w:r>
          </w:p>
        </w:tc>
        <w:tc>
          <w:tcPr>
            <w:tcW w:w="6332" w:type="dxa"/>
            <w:tcBorders>
              <w:top w:val="nil"/>
            </w:tcBorders>
            <w:shd w:fill="auto" w:val="clear"/>
            <w:vAlign w:val="center"/>
          </w:tcPr>
          <w:p>
            <w:pPr>
              <w:pStyle w:val="NoSpacing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Организация мероприятий по пресечению деятельности нелегальных перевозчиков, включая организацию взаимодействия с территориальными органами ОГИБДД ОМВД России по Мантуровскому району  Курской области</w:t>
            </w:r>
          </w:p>
        </w:tc>
        <w:tc>
          <w:tcPr>
            <w:tcW w:w="1759" w:type="dxa"/>
            <w:tcBorders>
              <w:top w:val="nil"/>
            </w:tcBorders>
            <w:shd w:fill="auto" w:val="clear"/>
            <w:vAlign w:val="center"/>
          </w:tcPr>
          <w:p>
            <w:pPr>
              <w:pStyle w:val="NoSpacing"/>
              <w:jc w:val="center"/>
              <w:rPr/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2019-2021 г.г.</w:t>
            </w:r>
          </w:p>
        </w:tc>
        <w:tc>
          <w:tcPr>
            <w:tcW w:w="4961" w:type="dxa"/>
            <w:tcBorders>
              <w:top w:val="nil"/>
            </w:tcBorders>
            <w:shd w:fill="auto" w:val="clear"/>
          </w:tcPr>
          <w:p>
            <w:pPr>
              <w:pStyle w:val="NoSpacing"/>
              <w:jc w:val="both"/>
              <w:rPr/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Постановлением Администрации Мантуровского района Курской области  от 15.04.2019 № 182  создана межведомственная комиссия по контролю в области пассажирских перевозок и пресечения фактов осуществления нелегальных пассажирских перевозок по муниципальным маршрутам на территории Мантуровского района Курской области. В 2019 году было проведено 4 рейдовых мероприятия по данному вопросу. По результатам проведенных рейдов нарушений не выявлено.</w:t>
            </w:r>
          </w:p>
          <w:p>
            <w:pPr>
              <w:pStyle w:val="NoSpacing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/>
            </w:r>
          </w:p>
        </w:tc>
        <w:tc>
          <w:tcPr>
            <w:tcW w:w="2224" w:type="dxa"/>
            <w:tcBorders>
              <w:top w:val="nil"/>
            </w:tcBorders>
            <w:shd w:fill="auto" w:val="clear"/>
            <w:vAlign w:val="center"/>
          </w:tcPr>
          <w:p>
            <w:pPr>
              <w:pStyle w:val="Default"/>
              <w:suppressAutoHyphens w:val="true"/>
              <w:jc w:val="center"/>
              <w:rPr/>
            </w:pPr>
            <w:r>
              <w:rPr>
                <w:rFonts w:eastAsia="Times New Roman"/>
                <w:b w:val="false"/>
                <w:bCs w:val="false"/>
                <w:sz w:val="24"/>
                <w:szCs w:val="24"/>
              </w:rPr>
              <w:t>Структурные подразделения Администрации района</w:t>
            </w:r>
          </w:p>
        </w:tc>
      </w:tr>
    </w:tbl>
    <w:p>
      <w:pPr>
        <w:pStyle w:val="Default"/>
        <w:suppressAutoHyphens w:val="true"/>
        <w:jc w:val="center"/>
        <w:rPr>
          <w:bCs/>
          <w:color w:val="auto"/>
          <w:sz w:val="26"/>
          <w:szCs w:val="26"/>
        </w:rPr>
      </w:pPr>
      <w:r>
        <w:rPr>
          <w:bCs/>
          <w:color w:val="auto"/>
          <w:sz w:val="26"/>
          <w:szCs w:val="26"/>
        </w:rPr>
      </w:r>
    </w:p>
    <w:p>
      <w:pPr>
        <w:pStyle w:val="Default"/>
        <w:suppressAutoHyphens w:val="true"/>
        <w:rPr>
          <w:bCs/>
          <w:color w:val="auto"/>
          <w:sz w:val="26"/>
          <w:szCs w:val="26"/>
        </w:rPr>
      </w:pPr>
      <w:r>
        <w:rPr>
          <w:bCs/>
          <w:color w:val="auto"/>
          <w:sz w:val="26"/>
          <w:szCs w:val="26"/>
        </w:rPr>
      </w:r>
    </w:p>
    <w:p>
      <w:pPr>
        <w:pStyle w:val="Default"/>
        <w:widowControl w:val="false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</w:t>
      </w:r>
      <w:r>
        <w:rPr>
          <w:b/>
          <w:sz w:val="28"/>
          <w:szCs w:val="28"/>
        </w:rPr>
        <w:t>. Системные мероприятия</w:t>
      </w:r>
    </w:p>
    <w:p>
      <w:pPr>
        <w:pStyle w:val="Default"/>
        <w:suppressAutoHyphens w:val="true"/>
        <w:rPr>
          <w:bCs/>
          <w:color w:val="auto"/>
          <w:sz w:val="26"/>
          <w:szCs w:val="26"/>
        </w:rPr>
      </w:pPr>
      <w:r>
        <w:rPr>
          <w:bCs/>
          <w:color w:val="auto"/>
          <w:sz w:val="26"/>
          <w:szCs w:val="26"/>
        </w:rPr>
      </w:r>
    </w:p>
    <w:tbl>
      <w:tblPr>
        <w:tblStyle w:val="ae"/>
        <w:tblW w:w="15911" w:type="dxa"/>
        <w:jc w:val="center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01"/>
        <w:gridCol w:w="4961"/>
        <w:gridCol w:w="6164"/>
        <w:gridCol w:w="1984"/>
        <w:gridCol w:w="2201"/>
      </w:tblGrid>
      <w:tr>
        <w:trPr>
          <w:tblHeader w:val="true"/>
        </w:trPr>
        <w:tc>
          <w:tcPr>
            <w:tcW w:w="601" w:type="dxa"/>
            <w:tcBorders/>
            <w:shd w:fill="auto" w:val="clear"/>
            <w:vAlign w:val="center"/>
          </w:tcPr>
          <w:p>
            <w:pPr>
              <w:pStyle w:val="NoSpacing"/>
              <w:widowControl w:val="false"/>
              <w:suppressAutoHyphens w:val="true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bCs/>
                <w:sz w:val="24"/>
                <w:szCs w:val="24"/>
              </w:rPr>
              <w:t>№</w:t>
            </w:r>
            <w:r>
              <w:rPr>
                <w:rFonts w:eastAsia="Times New Roman"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Times New Roman" w:ascii="Times New Roman" w:hAnsi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4961" w:type="dxa"/>
            <w:tcBorders/>
            <w:shd w:fill="auto" w:val="clear"/>
            <w:vAlign w:val="center"/>
          </w:tcPr>
          <w:p>
            <w:pPr>
              <w:pStyle w:val="NoSpacing"/>
              <w:widowControl w:val="false"/>
              <w:suppressAutoHyphens w:val="true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6164" w:type="dxa"/>
            <w:tcBorders/>
            <w:shd w:fill="auto" w:val="clear"/>
            <w:vAlign w:val="center"/>
          </w:tcPr>
          <w:p>
            <w:pPr>
              <w:pStyle w:val="NoSpacing"/>
              <w:widowControl w:val="false"/>
              <w:suppressAutoHyphens w:val="true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bCs/>
                <w:sz w:val="24"/>
                <w:szCs w:val="24"/>
              </w:rPr>
              <w:t>Отчет о выполнение мероприятия</w:t>
            </w:r>
          </w:p>
        </w:tc>
        <w:tc>
          <w:tcPr>
            <w:tcW w:w="1984" w:type="dxa"/>
            <w:tcBorders/>
            <w:shd w:fill="auto" w:val="clear"/>
            <w:vAlign w:val="center"/>
          </w:tcPr>
          <w:p>
            <w:pPr>
              <w:pStyle w:val="NoSpacing"/>
              <w:widowControl w:val="false"/>
              <w:suppressAutoHyphens w:val="true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bCs/>
                <w:sz w:val="24"/>
                <w:szCs w:val="24"/>
              </w:rPr>
              <w:t>Вид документа</w:t>
            </w:r>
          </w:p>
        </w:tc>
        <w:tc>
          <w:tcPr>
            <w:tcW w:w="2201" w:type="dxa"/>
            <w:tcBorders/>
            <w:shd w:fill="auto" w:val="clear"/>
            <w:vAlign w:val="center"/>
          </w:tcPr>
          <w:p>
            <w:pPr>
              <w:pStyle w:val="NoSpacing"/>
              <w:widowControl w:val="false"/>
              <w:suppressAutoHyphens w:val="true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bCs/>
                <w:sz w:val="24"/>
                <w:szCs w:val="24"/>
              </w:rPr>
              <w:t>Исполнитель</w:t>
            </w:r>
          </w:p>
          <w:p>
            <w:pPr>
              <w:pStyle w:val="NoSpacing"/>
              <w:widowControl w:val="false"/>
              <w:suppressAutoHyphens w:val="true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bCs/>
                <w:sz w:val="24"/>
                <w:szCs w:val="24"/>
              </w:rPr>
              <w:t>(соисполнители)</w:t>
            </w:r>
          </w:p>
        </w:tc>
      </w:tr>
      <w:tr>
        <w:trPr/>
        <w:tc>
          <w:tcPr>
            <w:tcW w:w="15911" w:type="dxa"/>
            <w:gridSpan w:val="5"/>
            <w:tcBorders/>
            <w:shd w:fill="auto" w:val="clear"/>
            <w:vAlign w:val="center"/>
          </w:tcPr>
          <w:p>
            <w:pPr>
              <w:pStyle w:val="NoSpacing"/>
              <w:jc w:val="center"/>
              <w:rPr/>
            </w:pPr>
            <w:r>
              <w:rPr>
                <w:rFonts w:eastAsia="Times New Roman" w:ascii="Times New Roman" w:hAnsi="Times New Roman"/>
                <w:b/>
                <w:bCs/>
                <w:sz w:val="24"/>
                <w:szCs w:val="24"/>
              </w:rPr>
              <w:t>Обеспечение прозрачности и доступности закупок товаров, работ, услуг, осуществляемых с использованием конкурсных  способов определения поставщиков (подрядчиков, исполнителей)</w:t>
            </w:r>
          </w:p>
        </w:tc>
      </w:tr>
      <w:tr>
        <w:trPr/>
        <w:tc>
          <w:tcPr>
            <w:tcW w:w="601" w:type="dxa"/>
            <w:tcBorders>
              <w:top w:val="nil"/>
            </w:tcBorders>
            <w:shd w:fill="auto" w:val="clear"/>
            <w:vAlign w:val="center"/>
          </w:tcPr>
          <w:p>
            <w:pPr>
              <w:pStyle w:val="NoSpacing"/>
              <w:jc w:val="center"/>
              <w:rPr/>
            </w:pPr>
            <w:r>
              <w:rPr/>
              <w:t>1.</w:t>
            </w:r>
          </w:p>
        </w:tc>
        <w:tc>
          <w:tcPr>
            <w:tcW w:w="15310" w:type="dxa"/>
            <w:gridSpan w:val="4"/>
            <w:tcBorders>
              <w:top w:val="nil"/>
            </w:tcBorders>
            <w:shd w:fill="auto" w:val="clear"/>
            <w:vAlign w:val="center"/>
          </w:tcPr>
          <w:p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Устранение случаев (снижение количества) осуществления закупки у единственного поставщика</w:t>
            </w:r>
          </w:p>
        </w:tc>
      </w:tr>
      <w:tr>
        <w:trPr>
          <w:trHeight w:val="3180" w:hRule="atLeast"/>
        </w:trPr>
        <w:tc>
          <w:tcPr>
            <w:tcW w:w="601" w:type="dxa"/>
            <w:tcBorders/>
            <w:shd w:fill="auto" w:val="clear"/>
            <w:vAlign w:val="center"/>
          </w:tcPr>
          <w:p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4961" w:type="dxa"/>
            <w:tcBorders/>
            <w:shd w:fill="auto" w:val="clear"/>
            <w:vAlign w:val="center"/>
          </w:tcPr>
          <w:p>
            <w:pPr>
              <w:pStyle w:val="NoSpacing"/>
              <w:jc w:val="both"/>
              <w:rPr/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Использование конкурсных процедур (конкурсов, аукционов, запросов котировок) при осуществлении государственных и муниципальных закупок</w:t>
            </w:r>
          </w:p>
        </w:tc>
        <w:tc>
          <w:tcPr>
            <w:tcW w:w="6164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color w:val="333333"/>
                <w:sz w:val="24"/>
                <w:szCs w:val="24"/>
                <w:shd w:fill="FFFFFF" w:val="clear"/>
                <w:lang w:eastAsia="ru-RU"/>
              </w:rPr>
              <w:t>В сфере закупок администрация района,  ее структурные подразделения, включая большинство бюджетных учреждений, работают в соответствии с 44 Федеральным законом «О контрактной системе в сфере закупок товаров, работ, услуг для обеспечения государственных и муниципальных нужд». Основные принципы 44 ФЗ: открытость, прозрачность, доступность, обеспечение честной конкуренции, экономия бюджетных средств. Сведения о закупке размещаются на официальном сайте госзакупок в плане-графике заказчика. Любой желающий может подавать заявку на участие в торгах.</w:t>
            </w:r>
          </w:p>
        </w:tc>
        <w:tc>
          <w:tcPr>
            <w:tcW w:w="1984" w:type="dxa"/>
            <w:tcBorders/>
            <w:shd w:fill="auto" w:val="clear"/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44-ФЗ</w:t>
            </w:r>
          </w:p>
        </w:tc>
        <w:tc>
          <w:tcPr>
            <w:tcW w:w="2201" w:type="dxa"/>
            <w:tcBorders/>
            <w:shd w:fill="auto" w:val="clear"/>
            <w:vAlign w:val="center"/>
          </w:tcPr>
          <w:p>
            <w:pPr>
              <w:pStyle w:val="Default"/>
              <w:suppressAutoHyphens w:val="true"/>
              <w:jc w:val="center"/>
              <w:rPr/>
            </w:pPr>
            <w:r>
              <w:rPr>
                <w:rFonts w:eastAsia="Times New Roman"/>
                <w:b w:val="false"/>
                <w:bCs w:val="false"/>
                <w:sz w:val="24"/>
                <w:szCs w:val="24"/>
              </w:rPr>
              <w:t>Структурные подразделения Администрации района</w:t>
            </w:r>
          </w:p>
        </w:tc>
      </w:tr>
      <w:tr>
        <w:trPr/>
        <w:tc>
          <w:tcPr>
            <w:tcW w:w="601" w:type="dxa"/>
            <w:tcBorders/>
            <w:shd w:fill="auto" w:val="clear"/>
            <w:vAlign w:val="center"/>
          </w:tcPr>
          <w:p>
            <w:pPr>
              <w:pStyle w:val="NoSpacing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eastAsia="Times New Roman" w:ascii="Times New Roman" w:hAnsi="Times New Roman"/>
                <w:b w:val="false"/>
                <w:bCs w:val="false"/>
                <w:sz w:val="24"/>
                <w:szCs w:val="24"/>
              </w:rPr>
              <w:t>2.</w:t>
            </w:r>
          </w:p>
        </w:tc>
        <w:tc>
          <w:tcPr>
            <w:tcW w:w="15310" w:type="dxa"/>
            <w:gridSpan w:val="4"/>
            <w:tcBorders/>
            <w:shd w:fill="auto" w:val="clear"/>
            <w:vAlign w:val="center"/>
          </w:tcPr>
          <w:p>
            <w:pPr>
              <w:pStyle w:val="Default"/>
              <w:suppressAutoHyphens w:val="true"/>
              <w:jc w:val="center"/>
              <w:rPr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eastAsia="Times New Roman"/>
                <w:b w:val="false"/>
                <w:bCs w:val="false"/>
                <w:color w:val="auto"/>
                <w:sz w:val="24"/>
                <w:szCs w:val="24"/>
              </w:rPr>
              <w:t>Введение  механизма оказания содействия заказчикам по вопросам, связанным с получением электронной подписи. Формированием заявок, а также правовым  сопровождением при осуществлении закупок</w:t>
            </w:r>
          </w:p>
        </w:tc>
      </w:tr>
      <w:tr>
        <w:trPr/>
        <w:tc>
          <w:tcPr>
            <w:tcW w:w="601" w:type="dxa"/>
            <w:tcBorders/>
            <w:shd w:fill="auto" w:val="clear"/>
            <w:vAlign w:val="center"/>
          </w:tcPr>
          <w:p>
            <w:pPr>
              <w:pStyle w:val="NoSpacing"/>
              <w:jc w:val="center"/>
              <w:rPr/>
            </w:pPr>
            <w:r>
              <w:rPr>
                <w:rFonts w:eastAsia="Times New Roman" w:ascii="Times New Roman" w:hAnsi="Times New Roman"/>
                <w:bCs/>
                <w:sz w:val="24"/>
                <w:szCs w:val="24"/>
              </w:rPr>
              <w:t>2.1.</w:t>
            </w:r>
          </w:p>
        </w:tc>
        <w:tc>
          <w:tcPr>
            <w:tcW w:w="4961" w:type="dxa"/>
            <w:tcBorders/>
            <w:shd w:fill="auto" w:val="clear"/>
            <w:vAlign w:val="center"/>
          </w:tcPr>
          <w:p>
            <w:pPr>
              <w:pStyle w:val="NoSpacing"/>
              <w:jc w:val="both"/>
              <w:rPr/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Проведение обучающих мероприятий для заказчиков по вопросам, связанным с получением электронной подписи, применения типовых технических заданий и контрактов при проведении закупок</w:t>
            </w:r>
          </w:p>
        </w:tc>
        <w:tc>
          <w:tcPr>
            <w:tcW w:w="6164" w:type="dxa"/>
            <w:tcBorders/>
            <w:shd w:fill="auto" w:val="clear"/>
            <w:vAlign w:val="center"/>
          </w:tcPr>
          <w:p>
            <w:pPr>
              <w:pStyle w:val="NoSpacing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Обучающие мероприятия для заказчиков по вопросам, связанным с получением электронной подписи, применения типовых технических заданий и контрактов при проведении закупок проводятся на договорной основе с привлечением образовательных организаций г. Курска.</w:t>
            </w:r>
          </w:p>
        </w:tc>
        <w:tc>
          <w:tcPr>
            <w:tcW w:w="1984" w:type="dxa"/>
            <w:tcBorders/>
            <w:shd w:fill="auto" w:val="clear"/>
            <w:vAlign w:val="center"/>
          </w:tcPr>
          <w:p>
            <w:pPr>
              <w:pStyle w:val="Default"/>
              <w:suppressAutoHyphens w:val="true"/>
              <w:jc w:val="center"/>
              <w:rPr>
                <w:rFonts w:eastAsia="Times New Roman"/>
                <w:b w:val="false"/>
                <w:b w:val="false"/>
                <w:bCs w:val="false"/>
                <w:color w:val="auto"/>
                <w:sz w:val="26"/>
                <w:szCs w:val="26"/>
              </w:rPr>
            </w:pPr>
            <w:r>
              <w:rPr>
                <w:rFonts w:eastAsia="Times New Roman"/>
                <w:b w:val="false"/>
                <w:bCs w:val="false"/>
                <w:color w:val="auto"/>
                <w:sz w:val="26"/>
                <w:szCs w:val="26"/>
              </w:rPr>
              <w:t>44-ФЗ</w:t>
            </w:r>
          </w:p>
        </w:tc>
        <w:tc>
          <w:tcPr>
            <w:tcW w:w="2201" w:type="dxa"/>
            <w:tcBorders/>
            <w:shd w:fill="auto" w:val="clear"/>
            <w:vAlign w:val="center"/>
          </w:tcPr>
          <w:p>
            <w:pPr>
              <w:pStyle w:val="Default"/>
              <w:suppressAutoHyphens w:val="true"/>
              <w:jc w:val="center"/>
              <w:rPr/>
            </w:pPr>
            <w:r>
              <w:rPr>
                <w:rFonts w:eastAsia="Times New Roman"/>
                <w:b w:val="false"/>
                <w:bCs w:val="false"/>
                <w:sz w:val="24"/>
                <w:szCs w:val="24"/>
              </w:rPr>
              <w:t>Структурные подразделения Администрации района</w:t>
            </w:r>
          </w:p>
        </w:tc>
      </w:tr>
      <w:tr>
        <w:trPr/>
        <w:tc>
          <w:tcPr>
            <w:tcW w:w="15911" w:type="dxa"/>
            <w:gridSpan w:val="5"/>
            <w:tcBorders/>
            <w:shd w:fill="auto" w:val="clear"/>
            <w:vAlign w:val="center"/>
          </w:tcPr>
          <w:p>
            <w:pPr>
              <w:pStyle w:val="NoSpacing"/>
              <w:jc w:val="both"/>
              <w:rPr>
                <w:b w:val="false"/>
                <w:b w:val="false"/>
                <w:bCs w:val="false"/>
              </w:rPr>
            </w:pPr>
            <w:r>
              <w:rPr>
                <w:rFonts w:eastAsia="Times New Roman" w:ascii="Times New Roman" w:hAnsi="Times New Roman"/>
                <w:b w:val="false"/>
                <w:bCs w:val="false"/>
                <w:sz w:val="24"/>
                <w:szCs w:val="24"/>
              </w:rPr>
              <w:t xml:space="preserve">    </w:t>
            </w:r>
            <w:r>
              <w:rPr>
                <w:rFonts w:eastAsia="Times New Roman" w:ascii="Times New Roman" w:hAnsi="Times New Roman"/>
                <w:b w:val="false"/>
                <w:bCs w:val="false"/>
                <w:color w:val="auto"/>
                <w:sz w:val="26"/>
                <w:szCs w:val="26"/>
              </w:rPr>
              <w:t xml:space="preserve">          </w:t>
            </w:r>
            <w:r>
              <w:rPr>
                <w:rFonts w:eastAsia="Times New Roman" w:ascii="Times New Roman" w:hAnsi="Times New Roman"/>
                <w:b w:val="false"/>
                <w:bCs w:val="false"/>
                <w:color w:val="auto"/>
                <w:sz w:val="26"/>
                <w:szCs w:val="26"/>
              </w:rPr>
              <w:t>3.  Устранение избыточного государственного и муниципального регулирования, а также снижение административных барьеров</w:t>
            </w:r>
          </w:p>
        </w:tc>
      </w:tr>
      <w:tr>
        <w:trPr>
          <w:trHeight w:val="1253" w:hRule="atLeast"/>
        </w:trPr>
        <w:tc>
          <w:tcPr>
            <w:tcW w:w="601" w:type="dxa"/>
            <w:tcBorders/>
            <w:shd w:fill="auto" w:val="clear"/>
            <w:vAlign w:val="center"/>
          </w:tcPr>
          <w:p>
            <w:pPr>
              <w:pStyle w:val="NoSpacing"/>
              <w:jc w:val="center"/>
              <w:rPr/>
            </w:pPr>
            <w:r>
              <w:rPr>
                <w:rFonts w:eastAsia="Times New Roman" w:ascii="Times New Roman" w:hAnsi="Times New Roman"/>
                <w:bCs/>
                <w:sz w:val="24"/>
                <w:szCs w:val="24"/>
              </w:rPr>
              <w:t>3.1.</w:t>
            </w:r>
          </w:p>
        </w:tc>
        <w:tc>
          <w:tcPr>
            <w:tcW w:w="4961" w:type="dxa"/>
            <w:tcBorders/>
            <w:shd w:fill="auto" w:val="clear"/>
            <w:vAlign w:val="center"/>
          </w:tcPr>
          <w:p>
            <w:pPr>
              <w:pStyle w:val="NoSpacing"/>
              <w:jc w:val="both"/>
              <w:rPr/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Проведение анализа практики реализации муниципальных функций и услуг на предмет соответствия такой практики статьи 15 и 16 Федерального закона «О защите конкуренции»</w:t>
            </w:r>
          </w:p>
        </w:tc>
        <w:tc>
          <w:tcPr>
            <w:tcW w:w="6164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" w:cs="Times New Roman" w:ascii="Times New Roman" w:hAnsi="Times New Roman"/>
                <w:bCs/>
                <w:sz w:val="24"/>
                <w:szCs w:val="24"/>
                <w:lang w:eastAsia="ru-RU"/>
              </w:rPr>
              <w:t>В 2019 году реализация муниципальных функций и услуг проходила  в соответствии со статьями 15 и 16 Федерального закона «О защите конкуренции». Р</w:t>
            </w:r>
            <w:r>
              <w:rPr>
                <w:rFonts w:eastAsia="" w:cs="Times New Roman"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абота велась в рамках следующих направлений:</w:t>
              <w:br/>
              <w:t>внедрение управления по результатам и проектного управления;</w:t>
              <w:br/>
              <w:t>регламентация и стандартизация государственных и муниципальных услуг (функций);</w:t>
              <w:br/>
              <w:t xml:space="preserve">предоставление информации о государственных услугах, оказываемых в электронной форме; </w:t>
              <w:br/>
              <w:t>организация предоставления государственных и муниципальных услуг по принципу "одного окна" на базе многофункциональных центров предоставления государственных и муниципальных услуг;</w:t>
              <w:br/>
              <w:t>размещение государственного и муниципального заказа;</w:t>
              <w:br/>
              <w:t>противодействие коррупции.</w:t>
            </w:r>
          </w:p>
        </w:tc>
        <w:tc>
          <w:tcPr>
            <w:tcW w:w="1984" w:type="dxa"/>
            <w:tcBorders/>
            <w:shd w:fill="auto" w:val="clear"/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9</w:t>
            </w:r>
            <w:r>
              <w:rPr>
                <w:rFonts w:eastAsia="Times New Roman" w:ascii="Times New Roman" w:hAnsi="Times New Roman"/>
                <w:sz w:val="24"/>
                <w:szCs w:val="24"/>
              </w:rPr>
              <w:t>-</w:t>
            </w:r>
            <w:r>
              <w:rPr>
                <w:rFonts w:eastAsia="Times New Roman" w:ascii="Times New Roman" w:hAnsi="Times New Roman"/>
                <w:sz w:val="24"/>
                <w:szCs w:val="24"/>
              </w:rPr>
              <w:t>ФЗ</w:t>
            </w:r>
          </w:p>
        </w:tc>
        <w:tc>
          <w:tcPr>
            <w:tcW w:w="2201" w:type="dxa"/>
            <w:tcBorders/>
            <w:shd w:fill="auto" w:val="clear"/>
            <w:vAlign w:val="center"/>
          </w:tcPr>
          <w:p>
            <w:pPr>
              <w:pStyle w:val="Default"/>
              <w:suppressAutoHyphens w:val="true"/>
              <w:jc w:val="center"/>
              <w:rPr/>
            </w:pPr>
            <w:r>
              <w:rPr>
                <w:rFonts w:eastAsia="Times New Roman"/>
                <w:b w:val="false"/>
                <w:bCs w:val="false"/>
                <w:sz w:val="24"/>
                <w:szCs w:val="24"/>
              </w:rPr>
              <w:t>Структурные подразделения Администрации района</w:t>
            </w:r>
          </w:p>
        </w:tc>
      </w:tr>
      <w:tr>
        <w:trPr>
          <w:trHeight w:val="908" w:hRule="atLeast"/>
        </w:trPr>
        <w:tc>
          <w:tcPr>
            <w:tcW w:w="15911" w:type="dxa"/>
            <w:gridSpan w:val="5"/>
            <w:tcBorders>
              <w:top w:val="nil"/>
            </w:tcBorders>
            <w:shd w:fill="auto" w:val="clear"/>
            <w:vAlign w:val="center"/>
          </w:tcPr>
          <w:p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в порядке проведения оценки регулирующего воздействия проектов нормативных правовых актов органов местного самоуправления и экспертизы нормативных правовых актов органов местного самоуправления, устанавливаемых в соответствии с федеральным законом «Об общих принципах местного самоуправления в Российской Федерации», пунктов, предусматривающих анализ воздействия таких проектов актов на состояние конкуренции, а также соответствующего аналитического инструментария (инструкций, форм, стандартов и др.)</w:t>
            </w:r>
          </w:p>
          <w:p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364" w:hRule="atLeast"/>
        </w:trPr>
        <w:tc>
          <w:tcPr>
            <w:tcW w:w="601" w:type="dxa"/>
            <w:tcBorders>
              <w:top w:val="nil"/>
            </w:tcBorders>
            <w:shd w:fill="auto" w:val="clear"/>
            <w:vAlign w:val="center"/>
          </w:tcPr>
          <w:p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4961" w:type="dxa"/>
            <w:tcBorders>
              <w:top w:val="nil"/>
            </w:tcBorders>
            <w:shd w:fill="auto" w:val="clear"/>
            <w:vAlign w:val="center"/>
          </w:tcPr>
          <w:p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оценки регулирующего воздействия проектов нормативных муниципальных правовых актов и фактического воздействия нормативных правовых актов на состояние конкуренции</w:t>
            </w:r>
          </w:p>
        </w:tc>
        <w:tc>
          <w:tcPr>
            <w:tcW w:w="6164" w:type="dxa"/>
            <w:tcBorders>
              <w:top w:val="nil"/>
            </w:tcBorders>
            <w:shd w:fill="auto" w:val="clear"/>
            <w:vAlign w:val="center"/>
          </w:tcPr>
          <w:p>
            <w:pPr>
              <w:pStyle w:val="NoSpacing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 w:ascii="Times New Roman" w:hAnsi="Times New Roman"/>
                <w:bCs/>
                <w:sz w:val="24"/>
                <w:szCs w:val="24"/>
              </w:rPr>
              <w:t>В соответствии с 9-ЗКО « О порядке проведения оценки регулирующего воздействия проектов нормативных правовых актов Курской области, проектов муниципальных нормативных правовых актов и экспертизы нормативных , муниципальных нормативных правовых актов на территории Курской области»  ст. 9.2. проведение оценки регулирующего воздействия проектов муниципальных нормативных правовых актов и экспертизы муниципальных правовых актов для  муниципального района «Мантуровский район» Курской области является не обязательным. В 2019 году оценка регулирующего воздействия в муниципальном районе не проводилась.</w:t>
            </w:r>
          </w:p>
        </w:tc>
        <w:tc>
          <w:tcPr>
            <w:tcW w:w="1984" w:type="dxa"/>
            <w:tcBorders>
              <w:top w:val="nil"/>
            </w:tcBorders>
            <w:shd w:fill="auto" w:val="clear"/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01" w:type="dxa"/>
            <w:tcBorders>
              <w:top w:val="nil"/>
            </w:tcBorders>
            <w:shd w:fill="auto" w:val="clear"/>
            <w:vAlign w:val="center"/>
          </w:tcPr>
          <w:p>
            <w:pPr>
              <w:pStyle w:val="Default"/>
              <w:suppressAutoHyphens w:val="true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 w:val="false"/>
                <w:bCs w:val="false"/>
                <w:sz w:val="24"/>
                <w:szCs w:val="24"/>
              </w:rPr>
              <w:t>Отдел экономики и труда Администрации района</w:t>
            </w:r>
          </w:p>
        </w:tc>
      </w:tr>
      <w:tr>
        <w:trPr>
          <w:trHeight w:val="345" w:hRule="atLeast"/>
        </w:trPr>
        <w:tc>
          <w:tcPr>
            <w:tcW w:w="15911" w:type="dxa"/>
            <w:gridSpan w:val="5"/>
            <w:tcBorders>
              <w:top w:val="nil"/>
            </w:tcBorders>
            <w:shd w:fill="auto" w:val="clear"/>
            <w:vAlign w:val="center"/>
          </w:tcPr>
          <w:p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Совершенствование процессов управления в рамках полномочий органов местного самоуправления, закрепленных за ними законодательством Российской Федерации, объектами муниципальной собственности, а также на ограничение влияния муниципальных предприятий на конкуренцию, включая:</w:t>
            </w:r>
          </w:p>
          <w:p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-разработку, утверждение и выполнение комплексного плана по эффективному управлению муниципальными предприятиями и учреждениями, акционерными обществами с муниципальным участием, муниципальными некоммерческими организациями, осуществляющими предпринимательскую деятельность, в которой содержатся в том числе ключевые показатели эффективности деятельности</w:t>
            </w:r>
          </w:p>
        </w:tc>
      </w:tr>
      <w:tr>
        <w:trPr>
          <w:trHeight w:val="345" w:hRule="atLeast"/>
        </w:trPr>
        <w:tc>
          <w:tcPr>
            <w:tcW w:w="601" w:type="dxa"/>
            <w:tcBorders>
              <w:top w:val="nil"/>
            </w:tcBorders>
            <w:shd w:fill="auto" w:val="clear"/>
            <w:vAlign w:val="center"/>
          </w:tcPr>
          <w:p>
            <w:pPr>
              <w:pStyle w:val="NoSpacing"/>
              <w:jc w:val="center"/>
              <w:rPr/>
            </w:pPr>
            <w:r>
              <w:rPr/>
              <w:t>4.1.</w:t>
            </w:r>
          </w:p>
        </w:tc>
        <w:tc>
          <w:tcPr>
            <w:tcW w:w="4961" w:type="dxa"/>
            <w:tcBorders>
              <w:top w:val="nil"/>
            </w:tcBorders>
            <w:shd w:fill="auto" w:val="clear"/>
            <w:vAlign w:val="center"/>
          </w:tcPr>
          <w:p>
            <w:pPr>
              <w:pStyle w:val="NoSpacing"/>
              <w:jc w:val="both"/>
              <w:rPr/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Обеспечение приватизации в соответствии с нормами, установленными законодательством о приватизации имущества, находящегося в муниципальном районе «Мантуровский район» Курской области</w:t>
            </w:r>
          </w:p>
        </w:tc>
        <w:tc>
          <w:tcPr>
            <w:tcW w:w="6164" w:type="dxa"/>
            <w:tcBorders>
              <w:top w:val="nil"/>
            </w:tcBorders>
            <w:shd w:fill="auto" w:val="clear"/>
            <w:vAlign w:val="center"/>
          </w:tcPr>
          <w:p>
            <w:pPr>
              <w:pStyle w:val="NoSpacing"/>
              <w:jc w:val="both"/>
              <w:rPr/>
            </w:pPr>
            <w:r>
              <w:rPr>
                <w:rFonts w:eastAsia="Times New Roman"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 w:ascii="Times New Roman" w:hAnsi="Times New Roman"/>
                <w:bCs/>
                <w:sz w:val="24"/>
                <w:szCs w:val="24"/>
              </w:rPr>
              <w:t xml:space="preserve">Приватизация  имущества, находящегося в муниципальном районе «Мантуровский район» Курской области  планом на 2019 не предусматривалась. </w:t>
            </w:r>
            <w:r>
              <w:rPr>
                <w:rFonts w:eastAsia="Times New Roman" w:ascii="Times New Roman" w:hAnsi="Times New Roman"/>
                <w:bCs/>
                <w:sz w:val="24"/>
                <w:szCs w:val="24"/>
              </w:rPr>
              <w:t>Постановлением Администрации Мантуровского района утверждено положение «О порядке и условиях предоставления в аренду имущества, включенного в Перечень муниципального имущества, предназначенного для предоставления его во владение и (или) пользование субъектам малого и среднего предпринимательства и организациям, образующим инфраструктуру поддержки субъектов». В Перечень муниципального имущества, предназначенного для передачи во владение и (или) пользование СМСП, включено 25 объектов недвижимого имущества.</w:t>
            </w:r>
          </w:p>
        </w:tc>
        <w:tc>
          <w:tcPr>
            <w:tcW w:w="1984" w:type="dxa"/>
            <w:tcBorders>
              <w:top w:val="nil"/>
            </w:tcBorders>
            <w:shd w:fill="auto" w:val="clear"/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01" w:type="dxa"/>
            <w:tcBorders>
              <w:top w:val="nil"/>
            </w:tcBorders>
            <w:shd w:fill="auto" w:val="clear"/>
            <w:vAlign w:val="center"/>
          </w:tcPr>
          <w:p>
            <w:pPr>
              <w:pStyle w:val="Default"/>
              <w:suppressAutoHyphens w:val="true"/>
              <w:jc w:val="center"/>
              <w:rPr/>
            </w:pPr>
            <w:r>
              <w:rPr>
                <w:rFonts w:eastAsia="Times New Roman"/>
                <w:b w:val="false"/>
                <w:bCs w:val="false"/>
                <w:sz w:val="24"/>
                <w:szCs w:val="24"/>
              </w:rPr>
              <w:t>Структурные подразделения Администрации района</w:t>
            </w:r>
          </w:p>
        </w:tc>
      </w:tr>
      <w:tr>
        <w:trPr>
          <w:trHeight w:val="345" w:hRule="atLeast"/>
        </w:trPr>
        <w:tc>
          <w:tcPr>
            <w:tcW w:w="601" w:type="dxa"/>
            <w:tcBorders>
              <w:top w:val="nil"/>
            </w:tcBorders>
            <w:shd w:fill="auto" w:val="clear"/>
            <w:vAlign w:val="center"/>
          </w:tcPr>
          <w:p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4961" w:type="dxa"/>
            <w:tcBorders>
              <w:top w:val="nil"/>
            </w:tcBorders>
            <w:shd w:fill="auto" w:val="clear"/>
            <w:vAlign w:val="center"/>
          </w:tcPr>
          <w:p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открытого реестра муниципальных предприятий и учреждений, акционерных обществ с долей участия муниципальных образований более 50 процентов с включением информации об основных показателях их экономической (финансовой) деятельности и ведение его в актуальном состоянии</w:t>
            </w:r>
          </w:p>
        </w:tc>
        <w:tc>
          <w:tcPr>
            <w:tcW w:w="6164" w:type="dxa"/>
            <w:tcBorders>
              <w:top w:val="nil"/>
            </w:tcBorders>
            <w:shd w:fill="auto" w:val="clear"/>
            <w:vAlign w:val="center"/>
          </w:tcPr>
          <w:p>
            <w:pPr>
              <w:pStyle w:val="NoSpacing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bookmarkStart w:id="3" w:name="__DdeLink__27354_3729289169"/>
            <w:r>
              <w:rPr>
                <w:rFonts w:eastAsia="Times New Roman" w:ascii="Times New Roman" w:hAnsi="Times New Roman"/>
                <w:bCs/>
                <w:sz w:val="24"/>
                <w:szCs w:val="24"/>
              </w:rPr>
              <w:t>Муниципальные предприятия и учреждения, акционерные общества с долей участия муниципальных образований более 50 процентов отсутствуют</w:t>
            </w:r>
            <w:bookmarkEnd w:id="3"/>
            <w:r>
              <w:rPr>
                <w:rFonts w:eastAsia="Times New Roman"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nil"/>
            </w:tcBorders>
            <w:shd w:fill="auto" w:val="clear"/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01" w:type="dxa"/>
            <w:tcBorders>
              <w:top w:val="nil"/>
            </w:tcBorders>
            <w:shd w:fill="auto" w:val="clear"/>
            <w:vAlign w:val="center"/>
          </w:tcPr>
          <w:p>
            <w:pPr>
              <w:pStyle w:val="Default"/>
              <w:suppressAutoHyphens w:val="true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 w:val="false"/>
                <w:bCs w:val="false"/>
                <w:sz w:val="24"/>
                <w:szCs w:val="24"/>
              </w:rPr>
              <w:t>Отдел экономики и труда Администрации района</w:t>
            </w:r>
          </w:p>
        </w:tc>
      </w:tr>
      <w:tr>
        <w:trPr/>
        <w:tc>
          <w:tcPr>
            <w:tcW w:w="15911" w:type="dxa"/>
            <w:gridSpan w:val="5"/>
            <w:tcBorders/>
            <w:shd w:fill="auto" w:val="clear"/>
            <w:vAlign w:val="center"/>
          </w:tcPr>
          <w:p>
            <w:pPr>
              <w:pStyle w:val="NoSpacing"/>
              <w:jc w:val="center"/>
              <w:rPr/>
            </w:pPr>
            <w:r>
              <w:rPr>
                <w:rFonts w:eastAsia="Times New Roman" w:ascii="Times New Roman" w:hAnsi="Times New Roman"/>
                <w:bCs/>
                <w:sz w:val="24"/>
                <w:szCs w:val="24"/>
              </w:rPr>
              <w:t>5. Содействие развитию практики применения механизмов, муниципально-частного партнерства, в том числе практики заключения концессионных соглашений, в социальной сфере (детский отдых и оздоровление)</w:t>
            </w:r>
          </w:p>
        </w:tc>
      </w:tr>
      <w:tr>
        <w:trPr>
          <w:trHeight w:val="280" w:hRule="atLeast"/>
        </w:trPr>
        <w:tc>
          <w:tcPr>
            <w:tcW w:w="601" w:type="dxa"/>
            <w:tcBorders/>
            <w:shd w:fill="auto" w:val="clear"/>
            <w:vAlign w:val="center"/>
          </w:tcPr>
          <w:p>
            <w:pPr>
              <w:pStyle w:val="NoSpacing"/>
              <w:jc w:val="center"/>
              <w:rPr/>
            </w:pPr>
            <w:r>
              <w:rPr>
                <w:rFonts w:eastAsia="Calibri" w:ascii="Times New Roman" w:hAnsi="Times New Roman" w:eastAsiaTheme="minorHAnsi"/>
                <w:sz w:val="24"/>
                <w:szCs w:val="24"/>
              </w:rPr>
              <w:t>5.1.</w:t>
            </w:r>
          </w:p>
        </w:tc>
        <w:tc>
          <w:tcPr>
            <w:tcW w:w="4961" w:type="dxa"/>
            <w:tcBorders/>
            <w:shd w:fill="auto" w:val="clear"/>
            <w:vAlign w:val="center"/>
          </w:tcPr>
          <w:p>
            <w:pPr>
              <w:pStyle w:val="NoSpacing"/>
              <w:jc w:val="both"/>
              <w:rPr/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Обеспечение проведения конкурсных процедур по закупке услуг по предоставлению детского отдыха и оздоровления детей в организациях отдыха и оздоровления</w:t>
            </w:r>
          </w:p>
        </w:tc>
        <w:tc>
          <w:tcPr>
            <w:tcW w:w="6164" w:type="dxa"/>
            <w:tcBorders/>
            <w:shd w:fill="auto" w:val="clear"/>
            <w:vAlign w:val="center"/>
          </w:tcPr>
          <w:p>
            <w:pPr>
              <w:pStyle w:val="NoSpacing"/>
              <w:jc w:val="both"/>
              <w:rPr/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 xml:space="preserve">По предоставлению детского отдыха и оздоровления детей в организациях отдыха и оздоровления в районе на базе 11 образовательных организаций в 2019 году функционировали лагеря с дневным пребыванием, где оздоровлено 181 обучающихся, из них 118 детей, находящихся в трудной жизненной ситуации. В загородных лагерях оздоровлено 38 детей, в том числе 18  детей из семей, находящихся в трудной жизненной ситуации. Всего было выдано 34 путевки в санаторно-оздоровительные  учреждения, из них 18 путевок для детей, находящихся в ТЖС. Предоставление </w:t>
            </w:r>
            <w:r>
              <w:rPr>
                <w:rFonts w:eastAsia="Times New Roman" w:ascii="Times New Roman" w:hAnsi="Times New Roman"/>
                <w:sz w:val="24"/>
                <w:szCs w:val="24"/>
              </w:rPr>
              <w:t xml:space="preserve">услуг </w:t>
            </w:r>
            <w:r>
              <w:rPr>
                <w:rFonts w:eastAsia="Times New Roman" w:ascii="Times New Roman" w:hAnsi="Times New Roman"/>
                <w:sz w:val="24"/>
                <w:szCs w:val="24"/>
              </w:rPr>
              <w:t>детского отдыха и оздоровления пров</w:t>
            </w:r>
            <w:r>
              <w:rPr>
                <w:rFonts w:eastAsia="Times New Roman" w:ascii="Times New Roman" w:hAnsi="Times New Roman"/>
                <w:sz w:val="24"/>
                <w:szCs w:val="24"/>
              </w:rPr>
              <w:t>одится с соответствии с 44-ФЗ</w:t>
            </w:r>
            <w:r>
              <w:rPr>
                <w:rFonts w:eastAsia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eastAsia="" w:cs="Times New Roman" w:ascii="Times New Roman" w:hAnsi="Times New Roman"/>
                <w:color w:val="333333"/>
                <w:sz w:val="24"/>
                <w:szCs w:val="24"/>
                <w:shd w:fill="FFFFFF" w:val="clear"/>
                <w:lang w:eastAsia="ru-RU"/>
              </w:rPr>
              <w:t>«О контрактной системе в сфере закупок товаров, работ, услуг для обеспечения государственных и муниципальных нужд</w:t>
            </w:r>
            <w:r>
              <w:rPr>
                <w:rFonts w:eastAsia="Times New Roman" w:ascii="Times New Roman" w:hAnsi="Times New Roman"/>
                <w:sz w:val="24"/>
                <w:szCs w:val="24"/>
              </w:rPr>
              <w:t xml:space="preserve"> .</w:t>
            </w:r>
          </w:p>
        </w:tc>
        <w:tc>
          <w:tcPr>
            <w:tcW w:w="1984" w:type="dxa"/>
            <w:tcBorders/>
            <w:shd w:fill="auto" w:val="clear"/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01" w:type="dxa"/>
            <w:tcBorders/>
            <w:shd w:fill="auto" w:val="clear"/>
            <w:vAlign w:val="center"/>
          </w:tcPr>
          <w:p>
            <w:pPr>
              <w:pStyle w:val="Default"/>
              <w:suppressAutoHyphens w:val="true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 w:val="false"/>
                <w:bCs w:val="false"/>
                <w:sz w:val="24"/>
                <w:szCs w:val="24"/>
              </w:rPr>
              <w:t>Отдел экономики и труда Администрации района</w:t>
            </w:r>
          </w:p>
        </w:tc>
      </w:tr>
      <w:tr>
        <w:trPr>
          <w:trHeight w:val="280" w:hRule="atLeast"/>
        </w:trPr>
        <w:tc>
          <w:tcPr>
            <w:tcW w:w="15911" w:type="dxa"/>
            <w:gridSpan w:val="5"/>
            <w:tcBorders>
              <w:top w:val="nil"/>
            </w:tcBorders>
            <w:shd w:fill="auto" w:val="clear"/>
            <w:vAlign w:val="center"/>
          </w:tcPr>
          <w:p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6. Обучение муниципальных служащих основам государственной политики в области развития конкуренции и антимонопольного законодательства Российской Федерации</w:t>
            </w:r>
          </w:p>
        </w:tc>
      </w:tr>
      <w:tr>
        <w:trPr>
          <w:trHeight w:val="280" w:hRule="atLeast"/>
        </w:trPr>
        <w:tc>
          <w:tcPr>
            <w:tcW w:w="601" w:type="dxa"/>
            <w:tcBorders>
              <w:top w:val="nil"/>
            </w:tcBorders>
            <w:shd w:fill="auto" w:val="clear"/>
            <w:vAlign w:val="center"/>
          </w:tcPr>
          <w:p>
            <w:pPr>
              <w:pStyle w:val="NoSpacing"/>
              <w:jc w:val="center"/>
              <w:rPr/>
            </w:pPr>
            <w:r>
              <w:rPr/>
              <w:t>6.1.</w:t>
            </w:r>
          </w:p>
        </w:tc>
        <w:tc>
          <w:tcPr>
            <w:tcW w:w="4961" w:type="dxa"/>
            <w:tcBorders>
              <w:top w:val="nil"/>
            </w:tcBorders>
            <w:shd w:fill="auto" w:val="clear"/>
            <w:vAlign w:val="center"/>
          </w:tcPr>
          <w:p>
            <w:pPr>
              <w:pStyle w:val="NoSpacing"/>
              <w:jc w:val="both"/>
              <w:rPr/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Обучение муниципальных служащих основам государственной политики в области развития конкуренции и антимонопольного законодательства Российской Федерации</w:t>
            </w:r>
          </w:p>
        </w:tc>
        <w:tc>
          <w:tcPr>
            <w:tcW w:w="6164" w:type="dxa"/>
            <w:tcBorders>
              <w:top w:val="nil"/>
            </w:tcBorders>
            <w:shd w:fill="auto" w:val="clear"/>
            <w:vAlign w:val="center"/>
          </w:tcPr>
          <w:p>
            <w:pPr>
              <w:pStyle w:val="NoSpacing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Ежегодно для муниципальных служащих проводятся областные обучающие семинары на тему основы государственной политики в области развития конкуренции и антимонопольного законодательства Российской Федерации. В 2019 году 3 муниципальных служащих района прошли обучение на указанную тему.</w:t>
            </w:r>
          </w:p>
        </w:tc>
        <w:tc>
          <w:tcPr>
            <w:tcW w:w="1984" w:type="dxa"/>
            <w:tcBorders>
              <w:top w:val="nil"/>
            </w:tcBorders>
            <w:shd w:fill="auto" w:val="clear"/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01" w:type="dxa"/>
            <w:tcBorders>
              <w:top w:val="nil"/>
            </w:tcBorders>
            <w:shd w:fill="auto" w:val="clear"/>
            <w:vAlign w:val="center"/>
          </w:tcPr>
          <w:p>
            <w:pPr>
              <w:pStyle w:val="Default"/>
              <w:suppressAutoHyphens w:val="true"/>
              <w:jc w:val="center"/>
              <w:rPr/>
            </w:pPr>
            <w:r>
              <w:rPr>
                <w:rFonts w:eastAsia="Times New Roman"/>
                <w:b w:val="false"/>
                <w:bCs w:val="false"/>
                <w:sz w:val="24"/>
                <w:szCs w:val="24"/>
              </w:rPr>
              <w:t>Структурные подразделения Администрации района</w:t>
            </w:r>
          </w:p>
        </w:tc>
      </w:tr>
      <w:tr>
        <w:trPr>
          <w:trHeight w:val="280" w:hRule="atLeast"/>
        </w:trPr>
        <w:tc>
          <w:tcPr>
            <w:tcW w:w="15911" w:type="dxa"/>
            <w:gridSpan w:val="5"/>
            <w:tcBorders>
              <w:top w:val="nil"/>
            </w:tcBorders>
            <w:shd w:fill="auto" w:val="clear"/>
            <w:vAlign w:val="center"/>
          </w:tcPr>
          <w:p>
            <w:pPr>
              <w:pStyle w:val="NoSpacing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 xml:space="preserve">7. Внедрение в Мантуровском районе 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урской области Стандарта развития конкуренции</w:t>
            </w:r>
          </w:p>
        </w:tc>
      </w:tr>
      <w:tr>
        <w:trPr>
          <w:trHeight w:val="280" w:hRule="atLeast"/>
        </w:trPr>
        <w:tc>
          <w:tcPr>
            <w:tcW w:w="601" w:type="dxa"/>
            <w:tcBorders>
              <w:top w:val="nil"/>
            </w:tcBorders>
            <w:shd w:fill="auto" w:val="clear"/>
            <w:vAlign w:val="center"/>
          </w:tcPr>
          <w:p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7.1.</w:t>
            </w:r>
          </w:p>
        </w:tc>
        <w:tc>
          <w:tcPr>
            <w:tcW w:w="4961" w:type="dxa"/>
            <w:tcBorders>
              <w:top w:val="nil"/>
            </w:tcBorders>
            <w:shd w:fill="auto" w:val="clear"/>
            <w:vAlign w:val="center"/>
          </w:tcPr>
          <w:p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Администрацией Мантуровского района Курской области мониторинга состояния и развития конкурентной среды на рынках товаров, работ и услуг</w:t>
            </w:r>
          </w:p>
        </w:tc>
        <w:tc>
          <w:tcPr>
            <w:tcW w:w="6164" w:type="dxa"/>
            <w:tcBorders>
              <w:top w:val="nil"/>
            </w:tcBorders>
            <w:shd w:fill="auto" w:val="clear"/>
            <w:vAlign w:val="center"/>
          </w:tcPr>
          <w:p>
            <w:pPr>
              <w:pStyle w:val="Normal"/>
              <w:tabs>
                <w:tab w:val="left" w:pos="1678" w:leader="none"/>
              </w:tabs>
              <w:spacing w:lineRule="auto" w:line="240" w:before="0" w:after="0"/>
              <w:jc w:val="both"/>
              <w:rPr/>
            </w:pPr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eastAsia="ru-RU"/>
              </w:rPr>
              <w:t>По состоянию на 01.01.2020 года в Мантуровском районе зарегистрировано 220 субъектов малого и среднего предпринимательства; из них- 206 индивидуальных предпринимателей, 13 малых предприятий и 1 среднее предприятие. По видам экономической деятельности: большая часть субъектов малого бизнеса сосредоточено в сфере торгово-закупочной деятельности или 35,9%; в сельском хозяйстве зарегистрировано 49 ИП или 22,3; 3 субъекта занимаются производством пищевых продуктов, 4 СМП осуществляют  деятельность с недвижимостью, остальные прочими видами деятельности.</w:t>
            </w:r>
          </w:p>
          <w:p>
            <w:pPr>
              <w:pStyle w:val="Normal"/>
              <w:tabs>
                <w:tab w:val="left" w:pos="1678" w:leader="none"/>
              </w:tabs>
              <w:spacing w:lineRule="auto" w:line="240" w:before="0" w:after="0"/>
              <w:jc w:val="both"/>
              <w:rPr/>
            </w:pPr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eastAsia="ru-RU"/>
              </w:rPr>
              <w:t>В 2019 году в рамках проведения мониторинга состояния и развития конкурентной среды на рынках товаров и услуг Курской области, измерение оценки качества о состоянии конкурентной среды на рынках товаров и услуг в районе и деятельности по содействию развитию конкуренции, размещаемой в открытом доступе, проводилось анкетирование (опрос мнения потребителей и предпринимателей). В анкетировании приняли участие 17 потребителей товаров и услуг и 20 индивидуальных предпринимателей.  По каждому вопросу, предложенных в анкетах, респонденты высказывали степень своей удовлетворенности. Результаты анкет были направлены в комитет экономики и развития Курской области для дальнейшего обобщения и анализа.</w:t>
            </w:r>
          </w:p>
          <w:p>
            <w:pPr>
              <w:pStyle w:val="Normal"/>
              <w:tabs>
                <w:tab w:val="left" w:pos="1678" w:leader="none"/>
              </w:tabs>
              <w:spacing w:lineRule="auto" w:line="240" w:before="0" w:after="0"/>
              <w:jc w:val="both"/>
              <w:rPr>
                <w:rFonts w:ascii="Times New Roman" w:hAnsi="Times New Roman" w:eastAsia="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eastAsia="" w:cs="Times New Roman" w:eastAsiaTheme="minorEastAsia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984" w:type="dxa"/>
            <w:tcBorders>
              <w:top w:val="nil"/>
            </w:tcBorders>
            <w:shd w:fill="auto" w:val="clear"/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01" w:type="dxa"/>
            <w:tcBorders>
              <w:top w:val="nil"/>
            </w:tcBorders>
            <w:shd w:fill="auto" w:val="clear"/>
            <w:vAlign w:val="center"/>
          </w:tcPr>
          <w:p>
            <w:pPr>
              <w:pStyle w:val="Default"/>
              <w:suppressAutoHyphens w:val="true"/>
              <w:jc w:val="center"/>
              <w:rPr/>
            </w:pPr>
            <w:r>
              <w:rPr>
                <w:rFonts w:eastAsia="Times New Roman"/>
                <w:b w:val="false"/>
                <w:bCs w:val="false"/>
                <w:sz w:val="24"/>
                <w:szCs w:val="24"/>
              </w:rPr>
              <w:t>Отдел экономики и труда Администрации района</w:t>
            </w:r>
          </w:p>
        </w:tc>
      </w:tr>
      <w:tr>
        <w:trPr>
          <w:trHeight w:val="280" w:hRule="atLeast"/>
        </w:trPr>
        <w:tc>
          <w:tcPr>
            <w:tcW w:w="601" w:type="dxa"/>
            <w:tcBorders>
              <w:top w:val="nil"/>
            </w:tcBorders>
            <w:shd w:fill="auto" w:val="clear"/>
            <w:vAlign w:val="center"/>
          </w:tcPr>
          <w:p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7.2.</w:t>
            </w:r>
          </w:p>
        </w:tc>
        <w:tc>
          <w:tcPr>
            <w:tcW w:w="4961" w:type="dxa"/>
            <w:tcBorders>
              <w:top w:val="nil"/>
            </w:tcBorders>
            <w:shd w:fill="auto" w:val="clear"/>
            <w:vAlign w:val="center"/>
          </w:tcPr>
          <w:p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Проведение мониторинга деятельности унитарных предприятий и хозяйственных обществ, доля участия муниципального района «Мантуровский район» Курской области в которых составляет 50 и более процентов </w:t>
            </w:r>
          </w:p>
        </w:tc>
        <w:tc>
          <w:tcPr>
            <w:tcW w:w="6164" w:type="dxa"/>
            <w:tcBorders>
              <w:top w:val="nil"/>
            </w:tcBorders>
            <w:shd w:fill="auto" w:val="clear"/>
            <w:vAlign w:val="center"/>
          </w:tcPr>
          <w:p>
            <w:pPr>
              <w:pStyle w:val="NoSpacing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Cs/>
                <w:sz w:val="24"/>
                <w:szCs w:val="24"/>
              </w:rPr>
              <w:t>Муниципальные предприятия и учреждения, акционерные общества с долей участия муниципальных образований более 50 процентов отсутствуют</w:t>
            </w:r>
          </w:p>
        </w:tc>
        <w:tc>
          <w:tcPr>
            <w:tcW w:w="1984" w:type="dxa"/>
            <w:tcBorders>
              <w:top w:val="nil"/>
            </w:tcBorders>
            <w:shd w:fill="auto" w:val="clear"/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01" w:type="dxa"/>
            <w:tcBorders>
              <w:top w:val="nil"/>
            </w:tcBorders>
            <w:shd w:fill="auto" w:val="clear"/>
            <w:vAlign w:val="center"/>
          </w:tcPr>
          <w:p>
            <w:pPr>
              <w:pStyle w:val="Default"/>
              <w:suppressAutoHyphens w:val="true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 w:val="false"/>
                <w:bCs w:val="false"/>
                <w:sz w:val="24"/>
                <w:szCs w:val="24"/>
              </w:rPr>
              <w:t>Отдел экономики и труда Администрации района</w:t>
            </w:r>
          </w:p>
        </w:tc>
      </w:tr>
      <w:tr>
        <w:trPr>
          <w:trHeight w:val="280" w:hRule="atLeast"/>
        </w:trPr>
        <w:tc>
          <w:tcPr>
            <w:tcW w:w="601" w:type="dxa"/>
            <w:tcBorders>
              <w:top w:val="nil"/>
            </w:tcBorders>
            <w:shd w:fill="auto" w:val="clear"/>
            <w:vAlign w:val="center"/>
          </w:tcPr>
          <w:p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7.3.</w:t>
            </w:r>
          </w:p>
        </w:tc>
        <w:tc>
          <w:tcPr>
            <w:tcW w:w="4961" w:type="dxa"/>
            <w:tcBorders>
              <w:top w:val="nil"/>
            </w:tcBorders>
            <w:shd w:fill="auto" w:val="clear"/>
            <w:vAlign w:val="center"/>
          </w:tcPr>
          <w:p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Информационное освещение деятельности по содействию развитию конкуренции в Мантуровском районе Курской области в средствах массовой информации, в том числе на официальном сайте Администрации Мантуровского района в сети «Интернет»</w:t>
            </w:r>
          </w:p>
        </w:tc>
        <w:tc>
          <w:tcPr>
            <w:tcW w:w="6164" w:type="dxa"/>
            <w:tcBorders>
              <w:top w:val="nil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eastAsia="ru-RU"/>
              </w:rPr>
              <w:t xml:space="preserve">Вся информация о деятельности по содействию развитию конкуренции размещена на официальном сайте  Администрации района в </w:t>
            </w:r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eastAsia="ru-RU"/>
              </w:rPr>
              <w:t xml:space="preserve">разделе «Справочная информация» в </w:t>
            </w:r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eastAsia="ru-RU"/>
              </w:rPr>
              <w:t>подразделе «</w:t>
            </w:r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eastAsia="ru-RU"/>
              </w:rPr>
              <w:t>Содействие р</w:t>
            </w:r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eastAsia="ru-RU"/>
              </w:rPr>
              <w:t>азвити</w:t>
            </w:r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eastAsia="ru-RU"/>
              </w:rPr>
              <w:t>ю</w:t>
            </w:r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eastAsia="ru-RU"/>
              </w:rPr>
              <w:t xml:space="preserve"> конкуренции».</w:t>
            </w:r>
          </w:p>
        </w:tc>
        <w:tc>
          <w:tcPr>
            <w:tcW w:w="1984" w:type="dxa"/>
            <w:tcBorders>
              <w:top w:val="nil"/>
            </w:tcBorders>
            <w:shd w:fill="auto" w:val="clear"/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01" w:type="dxa"/>
            <w:tcBorders>
              <w:top w:val="nil"/>
            </w:tcBorders>
            <w:shd w:fill="auto" w:val="clear"/>
            <w:vAlign w:val="center"/>
          </w:tcPr>
          <w:p>
            <w:pPr>
              <w:pStyle w:val="Default"/>
              <w:suppressAutoHyphens w:val="true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 w:val="false"/>
                <w:bCs w:val="false"/>
                <w:sz w:val="24"/>
                <w:szCs w:val="24"/>
              </w:rPr>
              <w:t>Отдел экономики и труда Администрации района</w:t>
            </w:r>
          </w:p>
        </w:tc>
      </w:tr>
    </w:tbl>
    <w:p>
      <w:pPr>
        <w:pStyle w:val="Default"/>
        <w:suppressAutoHyphens w:val="true"/>
        <w:rPr>
          <w:bCs/>
          <w:color w:val="auto"/>
          <w:sz w:val="26"/>
          <w:szCs w:val="26"/>
        </w:rPr>
      </w:pPr>
      <w:r>
        <w:rPr>
          <w:bCs/>
          <w:color w:val="auto"/>
          <w:sz w:val="26"/>
          <w:szCs w:val="26"/>
        </w:rPr>
      </w:r>
    </w:p>
    <w:p>
      <w:pPr>
        <w:pStyle w:val="Default"/>
        <w:suppressAutoHyphens w:val="true"/>
        <w:rPr/>
      </w:pPr>
      <w:r>
        <w:rPr/>
      </w:r>
    </w:p>
    <w:sectPr>
      <w:headerReference w:type="default" r:id="rId2"/>
      <w:type w:val="nextPage"/>
      <w:pgSz w:orient="landscape" w:w="16838" w:h="11906"/>
      <w:pgMar w:left="1134" w:right="851" w:header="709" w:top="1134" w:footer="0" w:bottom="1134" w:gutter="0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Cambria">
    <w:charset w:val="cc"/>
    <w:family w:val="roman"/>
    <w:pitch w:val="variable"/>
  </w:font>
  <w:font w:name="Tahoma"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Consolas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Mangal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0"/>
      <w:jc w:val="center"/>
      <w:rPr/>
    </w:pPr>
    <w:r>
      <w:rPr>
        <w:rFonts w:ascii="Times New Roman" w:hAnsi="Times New Roman"/>
        <w:sz w:val="24"/>
      </w:rPr>
      <w:fldChar w:fldCharType="begin"/>
    </w:r>
    <w:r>
      <w:rPr>
        <w:sz w:val="24"/>
        <w:rFonts w:ascii="Times New Roman" w:hAnsi="Times New Roman"/>
      </w:rPr>
      <w:instrText> PAGE </w:instrText>
    </w:r>
    <w:r>
      <w:rPr>
        <w:sz w:val="24"/>
        <w:rFonts w:ascii="Times New Roman" w:hAnsi="Times New Roman"/>
      </w:rPr>
      <w:fldChar w:fldCharType="separate"/>
    </w:r>
    <w:r>
      <w:rPr>
        <w:sz w:val="24"/>
        <w:rFonts w:ascii="Times New Roman" w:hAnsi="Times New Roman"/>
      </w:rPr>
      <w:t>10</w:t>
    </w:r>
    <w:r>
      <w:rPr>
        <w:sz w:val="24"/>
        <w:rFonts w:ascii="Times New Roman" w:hAnsi="Times New Roman"/>
      </w:rPr>
      <w:fldChar w:fldCharType="end"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4487d"/>
    <w:pPr>
      <w:widowControl/>
      <w:suppressAutoHyphens w:val="false"/>
      <w:bidi w:val="0"/>
      <w:spacing w:lineRule="auto" w:line="276" w:before="0" w:after="20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link w:val="10"/>
    <w:uiPriority w:val="9"/>
    <w:qFormat/>
    <w:rsid w:val="00f41ba0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notationreference">
    <w:name w:val="annotation reference"/>
    <w:uiPriority w:val="99"/>
    <w:semiHidden/>
    <w:unhideWhenUsed/>
    <w:qFormat/>
    <w:rsid w:val="00ae3fa5"/>
    <w:rPr>
      <w:sz w:val="16"/>
      <w:szCs w:val="16"/>
    </w:rPr>
  </w:style>
  <w:style w:type="character" w:styleId="Style13" w:customStyle="1">
    <w:name w:val="Текст примечания Знак"/>
    <w:link w:val="a4"/>
    <w:uiPriority w:val="99"/>
    <w:qFormat/>
    <w:rsid w:val="00ae3fa5"/>
    <w:rPr>
      <w:sz w:val="20"/>
      <w:szCs w:val="20"/>
    </w:rPr>
  </w:style>
  <w:style w:type="character" w:styleId="Style14" w:customStyle="1">
    <w:name w:val="Тема примечания Знак"/>
    <w:link w:val="a6"/>
    <w:uiPriority w:val="99"/>
    <w:semiHidden/>
    <w:qFormat/>
    <w:rsid w:val="00ae3fa5"/>
    <w:rPr>
      <w:b/>
      <w:bCs/>
      <w:sz w:val="20"/>
      <w:szCs w:val="20"/>
    </w:rPr>
  </w:style>
  <w:style w:type="character" w:styleId="Style15" w:customStyle="1">
    <w:name w:val="Текст выноски Знак"/>
    <w:link w:val="a8"/>
    <w:uiPriority w:val="99"/>
    <w:semiHidden/>
    <w:qFormat/>
    <w:rsid w:val="00ae3fa5"/>
    <w:rPr>
      <w:rFonts w:ascii="Tahoma" w:hAnsi="Tahoma" w:cs="Tahoma"/>
      <w:sz w:val="16"/>
      <w:szCs w:val="16"/>
    </w:rPr>
  </w:style>
  <w:style w:type="character" w:styleId="11pt" w:customStyle="1">
    <w:name w:val="Основной текст + 11 pt"/>
    <w:qFormat/>
    <w:rsid w:val="0096180f"/>
    <w:rPr>
      <w:rFonts w:ascii="Times New Roman" w:hAnsi="Times New Roman" w:cs="Times New Roman"/>
      <w:sz w:val="22"/>
      <w:szCs w:val="22"/>
      <w:u w:val="none"/>
    </w:rPr>
  </w:style>
  <w:style w:type="character" w:styleId="Style16" w:customStyle="1">
    <w:name w:val="Основной текст Знак"/>
    <w:link w:val="ac"/>
    <w:qFormat/>
    <w:rsid w:val="0096180f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7" w:customStyle="1">
    <w:name w:val="Верхний колонтитул Знак"/>
    <w:basedOn w:val="DefaultParagraphFont"/>
    <w:link w:val="af0"/>
    <w:uiPriority w:val="99"/>
    <w:qFormat/>
    <w:rsid w:val="007d489c"/>
    <w:rPr/>
  </w:style>
  <w:style w:type="character" w:styleId="Style18" w:customStyle="1">
    <w:name w:val="Нижний колонтитул Знак"/>
    <w:basedOn w:val="DefaultParagraphFont"/>
    <w:link w:val="af2"/>
    <w:uiPriority w:val="99"/>
    <w:qFormat/>
    <w:rsid w:val="007d489c"/>
    <w:rPr/>
  </w:style>
  <w:style w:type="character" w:styleId="Style19">
    <w:name w:val="Интернет-ссылка"/>
    <w:uiPriority w:val="99"/>
    <w:unhideWhenUsed/>
    <w:rsid w:val="003c4806"/>
    <w:rPr>
      <w:color w:val="0000FF"/>
      <w:u w:val="single"/>
    </w:rPr>
  </w:style>
  <w:style w:type="character" w:styleId="ConsPlusNormal" w:customStyle="1">
    <w:name w:val="ConsPlusNormal Знак"/>
    <w:link w:val="ConsPlusNormal0"/>
    <w:qFormat/>
    <w:locked/>
    <w:rsid w:val="00601784"/>
    <w:rPr>
      <w:rFonts w:ascii="Arial" w:hAnsi="Arial" w:eastAsia="Times New Roman" w:cs="Arial"/>
      <w:sz w:val="22"/>
      <w:szCs w:val="22"/>
      <w:lang w:val="ru-RU" w:eastAsia="en-US" w:bidi="ar-SA"/>
    </w:rPr>
  </w:style>
  <w:style w:type="character" w:styleId="Style20" w:customStyle="1">
    <w:name w:val="Основной текст_"/>
    <w:qFormat/>
    <w:rsid w:val="00e70513"/>
    <w:rPr>
      <w:rFonts w:ascii="Times New Roman" w:hAnsi="Times New Roman" w:cs="Times New Roman"/>
      <w:sz w:val="26"/>
      <w:szCs w:val="26"/>
      <w:u w:val="none"/>
    </w:rPr>
  </w:style>
  <w:style w:type="character" w:styleId="Style21">
    <w:name w:val="Выделение"/>
    <w:qFormat/>
    <w:rsid w:val="00cc153b"/>
    <w:rPr>
      <w:i/>
      <w:iCs/>
    </w:rPr>
  </w:style>
  <w:style w:type="character" w:styleId="11" w:customStyle="1">
    <w:name w:val="Заголовок 1 Знак"/>
    <w:basedOn w:val="DefaultParagraphFont"/>
    <w:link w:val="1"/>
    <w:uiPriority w:val="9"/>
    <w:qFormat/>
    <w:rsid w:val="00f41ba0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  <w:lang w:eastAsia="en-US"/>
    </w:rPr>
  </w:style>
  <w:style w:type="character" w:styleId="Style22" w:customStyle="1">
    <w:name w:val="Текст Знак"/>
    <w:basedOn w:val="DefaultParagraphFont"/>
    <w:link w:val="af9"/>
    <w:uiPriority w:val="99"/>
    <w:semiHidden/>
    <w:qFormat/>
    <w:rsid w:val="00995c46"/>
    <w:rPr>
      <w:rFonts w:ascii="Consolas" w:hAnsi="Consolas" w:eastAsia="Calibri" w:cs="" w:cstheme="minorBidi" w:eastAsiaTheme="minorHAnsi"/>
      <w:sz w:val="21"/>
      <w:szCs w:val="21"/>
      <w:lang w:eastAsia="en-US"/>
    </w:rPr>
  </w:style>
  <w:style w:type="character" w:styleId="12" w:customStyle="1">
    <w:name w:val="Неразрешенное упоминание1"/>
    <w:basedOn w:val="DefaultParagraphFont"/>
    <w:uiPriority w:val="99"/>
    <w:semiHidden/>
    <w:unhideWhenUsed/>
    <w:qFormat/>
    <w:rsid w:val="00a82bf5"/>
    <w:rPr>
      <w:color w:val="605E5C"/>
      <w:shd w:fill="E1DFDD" w:val="clear"/>
    </w:rPr>
  </w:style>
  <w:style w:type="character" w:styleId="FollowedHyperlink">
    <w:name w:val="FollowedHyperlink"/>
    <w:basedOn w:val="DefaultParagraphFont"/>
    <w:uiPriority w:val="99"/>
    <w:semiHidden/>
    <w:unhideWhenUsed/>
    <w:qFormat/>
    <w:rsid w:val="005f514e"/>
    <w:rPr>
      <w:color w:val="800080" w:themeColor="followedHyperlink"/>
      <w:u w:val="single"/>
    </w:rPr>
  </w:style>
  <w:style w:type="character" w:styleId="SubtleEmphasis">
    <w:name w:val="Subtle Emphasis"/>
    <w:basedOn w:val="DefaultParagraphFont"/>
    <w:uiPriority w:val="19"/>
    <w:qFormat/>
    <w:rsid w:val="0061722c"/>
    <w:rPr>
      <w:i/>
      <w:iCs/>
      <w:color w:val="404040" w:themeColor="text1" w:themeTint="bf"/>
    </w:rPr>
  </w:style>
  <w:style w:type="character" w:styleId="ListLabel1">
    <w:name w:val="ListLabel 1"/>
    <w:qFormat/>
    <w:rPr>
      <w:sz w:val="20"/>
    </w:rPr>
  </w:style>
  <w:style w:type="character" w:styleId="ListLabel2">
    <w:name w:val="ListLabel 2"/>
    <w:qFormat/>
    <w:rPr>
      <w:sz w:val="20"/>
    </w:rPr>
  </w:style>
  <w:style w:type="character" w:styleId="ListLabel3">
    <w:name w:val="ListLabel 3"/>
    <w:qFormat/>
    <w:rPr>
      <w:sz w:val="20"/>
    </w:rPr>
  </w:style>
  <w:style w:type="character" w:styleId="ListLabel4">
    <w:name w:val="ListLabel 4"/>
    <w:qFormat/>
    <w:rPr>
      <w:sz w:val="20"/>
    </w:rPr>
  </w:style>
  <w:style w:type="character" w:styleId="ListLabel5">
    <w:name w:val="ListLabel 5"/>
    <w:qFormat/>
    <w:rPr>
      <w:sz w:val="20"/>
    </w:rPr>
  </w:style>
  <w:style w:type="character" w:styleId="ListLabel6">
    <w:name w:val="ListLabel 6"/>
    <w:qFormat/>
    <w:rPr>
      <w:sz w:val="20"/>
    </w:rPr>
  </w:style>
  <w:style w:type="character" w:styleId="ListLabel7">
    <w:name w:val="ListLabel 7"/>
    <w:qFormat/>
    <w:rPr>
      <w:sz w:val="20"/>
    </w:rPr>
  </w:style>
  <w:style w:type="character" w:styleId="ListLabel8">
    <w:name w:val="ListLabel 8"/>
    <w:qFormat/>
    <w:rPr>
      <w:sz w:val="20"/>
    </w:rPr>
  </w:style>
  <w:style w:type="character" w:styleId="ListLabel9">
    <w:name w:val="ListLabel 9"/>
    <w:qFormat/>
    <w:rPr>
      <w:sz w:val="20"/>
    </w:rPr>
  </w:style>
  <w:style w:type="character" w:styleId="ListLabel10">
    <w:name w:val="ListLabel 10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4"/>
      <w:sz w:val="24"/>
      <w:szCs w:val="24"/>
      <w:u w:val="none" w:color="000000"/>
      <w:vertAlign w:val="baseline"/>
    </w:rPr>
  </w:style>
  <w:style w:type="character" w:styleId="ListLabel11">
    <w:name w:val="ListLabel 11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4"/>
      <w:sz w:val="24"/>
      <w:szCs w:val="24"/>
      <w:u w:val="none" w:color="000000"/>
      <w:vertAlign w:val="baseline"/>
    </w:rPr>
  </w:style>
  <w:style w:type="character" w:styleId="ListLabel12">
    <w:name w:val="ListLabel 12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4"/>
      <w:sz w:val="24"/>
      <w:szCs w:val="24"/>
      <w:u w:val="none" w:color="000000"/>
      <w:vertAlign w:val="baseline"/>
    </w:rPr>
  </w:style>
  <w:style w:type="character" w:styleId="ListLabel13">
    <w:name w:val="ListLabel 13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4"/>
      <w:sz w:val="24"/>
      <w:szCs w:val="24"/>
      <w:u w:val="none" w:color="000000"/>
      <w:vertAlign w:val="baseline"/>
    </w:rPr>
  </w:style>
  <w:style w:type="character" w:styleId="ListLabel14">
    <w:name w:val="ListLabel 14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4"/>
      <w:sz w:val="24"/>
      <w:szCs w:val="24"/>
      <w:u w:val="none" w:color="000000"/>
      <w:vertAlign w:val="baseline"/>
    </w:rPr>
  </w:style>
  <w:style w:type="character" w:styleId="ListLabel15">
    <w:name w:val="ListLabel 15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4"/>
      <w:sz w:val="24"/>
      <w:szCs w:val="24"/>
      <w:u w:val="none" w:color="000000"/>
      <w:vertAlign w:val="baseline"/>
    </w:rPr>
  </w:style>
  <w:style w:type="character" w:styleId="ListLabel16">
    <w:name w:val="ListLabel 16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4"/>
      <w:sz w:val="24"/>
      <w:szCs w:val="24"/>
      <w:u w:val="none" w:color="000000"/>
      <w:vertAlign w:val="baseline"/>
    </w:rPr>
  </w:style>
  <w:style w:type="character" w:styleId="ListLabel17">
    <w:name w:val="ListLabel 17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4"/>
      <w:sz w:val="24"/>
      <w:szCs w:val="24"/>
      <w:u w:val="none" w:color="000000"/>
      <w:vertAlign w:val="baseline"/>
    </w:rPr>
  </w:style>
  <w:style w:type="character" w:styleId="ListLabel18">
    <w:name w:val="ListLabel 18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4"/>
      <w:sz w:val="24"/>
      <w:szCs w:val="24"/>
      <w:u w:val="none" w:color="000000"/>
      <w:vertAlign w:val="baseline"/>
    </w:rPr>
  </w:style>
  <w:style w:type="character" w:styleId="ListLabel19">
    <w:name w:val="ListLabel 19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4"/>
      <w:sz w:val="24"/>
      <w:szCs w:val="24"/>
      <w:u w:val="none" w:color="000000"/>
      <w:vertAlign w:val="baseline"/>
    </w:rPr>
  </w:style>
  <w:style w:type="character" w:styleId="ListLabel20">
    <w:name w:val="ListLabel 20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4"/>
      <w:sz w:val="24"/>
      <w:szCs w:val="24"/>
      <w:u w:val="none" w:color="000000"/>
      <w:vertAlign w:val="baseline"/>
    </w:rPr>
  </w:style>
  <w:style w:type="character" w:styleId="ListLabel21">
    <w:name w:val="ListLabel 21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4"/>
      <w:sz w:val="24"/>
      <w:szCs w:val="24"/>
      <w:u w:val="none" w:color="000000"/>
      <w:vertAlign w:val="baseline"/>
    </w:rPr>
  </w:style>
  <w:style w:type="character" w:styleId="ListLabel22">
    <w:name w:val="ListLabel 22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4"/>
      <w:sz w:val="24"/>
      <w:szCs w:val="24"/>
      <w:u w:val="none" w:color="000000"/>
      <w:vertAlign w:val="baseline"/>
    </w:rPr>
  </w:style>
  <w:style w:type="character" w:styleId="ListLabel23">
    <w:name w:val="ListLabel 23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4"/>
      <w:sz w:val="24"/>
      <w:szCs w:val="24"/>
      <w:u w:val="none" w:color="000000"/>
      <w:vertAlign w:val="baseline"/>
    </w:rPr>
  </w:style>
  <w:style w:type="character" w:styleId="ListLabel24">
    <w:name w:val="ListLabel 24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4"/>
      <w:sz w:val="24"/>
      <w:szCs w:val="24"/>
      <w:u w:val="none" w:color="000000"/>
      <w:vertAlign w:val="baseline"/>
    </w:rPr>
  </w:style>
  <w:style w:type="character" w:styleId="ListLabel25">
    <w:name w:val="ListLabel 25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4"/>
      <w:sz w:val="24"/>
      <w:szCs w:val="24"/>
      <w:u w:val="none" w:color="000000"/>
      <w:vertAlign w:val="baseline"/>
    </w:rPr>
  </w:style>
  <w:style w:type="character" w:styleId="ListLabel26">
    <w:name w:val="ListLabel 26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4"/>
      <w:sz w:val="24"/>
      <w:szCs w:val="24"/>
      <w:u w:val="none" w:color="000000"/>
      <w:vertAlign w:val="baseline"/>
    </w:rPr>
  </w:style>
  <w:style w:type="character" w:styleId="ListLabel27">
    <w:name w:val="ListLabel 27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4"/>
      <w:sz w:val="24"/>
      <w:szCs w:val="24"/>
      <w:u w:val="none" w:color="000000"/>
      <w:vertAlign w:val="baseline"/>
    </w:rPr>
  </w:style>
  <w:style w:type="character" w:styleId="ListLabel28">
    <w:name w:val="ListLabel 28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4"/>
      <w:sz w:val="24"/>
      <w:szCs w:val="24"/>
      <w:u w:val="none" w:color="000000"/>
      <w:vertAlign w:val="baseline"/>
    </w:rPr>
  </w:style>
  <w:style w:type="character" w:styleId="ListLabel29">
    <w:name w:val="ListLabel 29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4"/>
      <w:sz w:val="24"/>
      <w:szCs w:val="24"/>
      <w:u w:val="none" w:color="000000"/>
      <w:vertAlign w:val="baseline"/>
    </w:rPr>
  </w:style>
  <w:style w:type="character" w:styleId="ListLabel30">
    <w:name w:val="ListLabel 30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4"/>
      <w:sz w:val="24"/>
      <w:szCs w:val="24"/>
      <w:u w:val="none" w:color="000000"/>
      <w:vertAlign w:val="baseline"/>
    </w:rPr>
  </w:style>
  <w:style w:type="character" w:styleId="ListLabel31">
    <w:name w:val="ListLabel 31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4"/>
      <w:sz w:val="24"/>
      <w:szCs w:val="24"/>
      <w:u w:val="none" w:color="000000"/>
      <w:vertAlign w:val="baseline"/>
    </w:rPr>
  </w:style>
  <w:style w:type="character" w:styleId="ListLabel32">
    <w:name w:val="ListLabel 32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4"/>
      <w:sz w:val="24"/>
      <w:szCs w:val="24"/>
      <w:u w:val="none" w:color="000000"/>
      <w:vertAlign w:val="baseline"/>
    </w:rPr>
  </w:style>
  <w:style w:type="character" w:styleId="ListLabel33">
    <w:name w:val="ListLabel 33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4"/>
      <w:sz w:val="24"/>
      <w:szCs w:val="24"/>
      <w:u w:val="none" w:color="000000"/>
      <w:vertAlign w:val="baseline"/>
    </w:rPr>
  </w:style>
  <w:style w:type="character" w:styleId="ListLabel34">
    <w:name w:val="ListLabel 34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4"/>
      <w:sz w:val="24"/>
      <w:szCs w:val="24"/>
      <w:u w:val="none" w:color="000000"/>
      <w:vertAlign w:val="baseline"/>
    </w:rPr>
  </w:style>
  <w:style w:type="character" w:styleId="ListLabel35">
    <w:name w:val="ListLabel 35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4"/>
      <w:sz w:val="24"/>
      <w:szCs w:val="24"/>
      <w:u w:val="none" w:color="000000"/>
      <w:vertAlign w:val="baseline"/>
    </w:rPr>
  </w:style>
  <w:style w:type="character" w:styleId="ListLabel36">
    <w:name w:val="ListLabel 36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4"/>
      <w:sz w:val="24"/>
      <w:szCs w:val="24"/>
      <w:u w:val="none" w:color="000000"/>
      <w:vertAlign w:val="baseline"/>
    </w:rPr>
  </w:style>
  <w:style w:type="paragraph" w:styleId="Style23">
    <w:name w:val="Заголовок"/>
    <w:basedOn w:val="Normal"/>
    <w:next w:val="Style24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24">
    <w:name w:val="Body Text"/>
    <w:basedOn w:val="Normal"/>
    <w:link w:val="ad"/>
    <w:rsid w:val="0096180f"/>
    <w:pPr>
      <w:spacing w:lineRule="auto" w:line="240" w:before="0" w:after="0"/>
      <w:jc w:val="both"/>
    </w:pPr>
    <w:rPr>
      <w:rFonts w:ascii="Times New Roman" w:hAnsi="Times New Roman" w:eastAsia="Times New Roman"/>
      <w:sz w:val="28"/>
      <w:szCs w:val="20"/>
      <w:lang w:eastAsia="ru-RU"/>
    </w:rPr>
  </w:style>
  <w:style w:type="paragraph" w:styleId="Style25">
    <w:name w:val="List"/>
    <w:basedOn w:val="Style24"/>
    <w:pPr/>
    <w:rPr>
      <w:rFonts w:cs="Arial"/>
    </w:rPr>
  </w:style>
  <w:style w:type="paragraph" w:styleId="Style26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7">
    <w:name w:val="Указатель"/>
    <w:basedOn w:val="Normal"/>
    <w:qFormat/>
    <w:pPr>
      <w:suppressLineNumbers/>
    </w:pPr>
    <w:rPr>
      <w:rFonts w:cs="Arial"/>
    </w:rPr>
  </w:style>
  <w:style w:type="paragraph" w:styleId="Annotationtext">
    <w:name w:val="annotation text"/>
    <w:basedOn w:val="Normal"/>
    <w:link w:val="a5"/>
    <w:uiPriority w:val="99"/>
    <w:unhideWhenUsed/>
    <w:qFormat/>
    <w:rsid w:val="00ae3fa5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link w:val="a7"/>
    <w:uiPriority w:val="99"/>
    <w:semiHidden/>
    <w:unhideWhenUsed/>
    <w:qFormat/>
    <w:rsid w:val="00ae3fa5"/>
    <w:pPr/>
    <w:rPr>
      <w:b/>
      <w:bCs/>
    </w:rPr>
  </w:style>
  <w:style w:type="paragraph" w:styleId="BalloonText">
    <w:name w:val="Balloon Text"/>
    <w:basedOn w:val="Normal"/>
    <w:link w:val="a9"/>
    <w:uiPriority w:val="99"/>
    <w:semiHidden/>
    <w:unhideWhenUsed/>
    <w:qFormat/>
    <w:rsid w:val="00ae3fa5"/>
    <w:pPr>
      <w:spacing w:lineRule="auto" w:line="240" w:before="0" w:after="0"/>
    </w:pPr>
    <w:rPr>
      <w:rFonts w:ascii="Tahoma" w:hAnsi="Tahoma"/>
      <w:sz w:val="16"/>
      <w:szCs w:val="16"/>
    </w:rPr>
  </w:style>
  <w:style w:type="paragraph" w:styleId="ConsPlusCell" w:customStyle="1">
    <w:name w:val="ConsPlusCell"/>
    <w:uiPriority w:val="99"/>
    <w:qFormat/>
    <w:rsid w:val="00750870"/>
    <w:pPr>
      <w:widowControl w:val="false"/>
      <w:bidi w:val="0"/>
      <w:jc w:val="left"/>
    </w:pPr>
    <w:rPr>
      <w:rFonts w:ascii="Arial" w:hAnsi="Arial" w:eastAsia="Times New Roman" w:cs="Arial"/>
      <w:color w:val="auto"/>
      <w:kern w:val="0"/>
      <w:sz w:val="22"/>
      <w:szCs w:val="20"/>
      <w:lang w:val="ru-RU" w:eastAsia="ru-RU" w:bidi="ar-SA"/>
    </w:rPr>
  </w:style>
  <w:style w:type="paragraph" w:styleId="Default" w:customStyle="1">
    <w:name w:val="Default"/>
    <w:qFormat/>
    <w:rsid w:val="008e493f"/>
    <w:pPr>
      <w:widowControl/>
      <w:bidi w:val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ru-RU" w:eastAsia="en-US" w:bidi="ar-SA"/>
    </w:rPr>
  </w:style>
  <w:style w:type="paragraph" w:styleId="Style28" w:customStyle="1">
    <w:name w:val="Содержимое таблицы"/>
    <w:basedOn w:val="Normal"/>
    <w:qFormat/>
    <w:rsid w:val="00e771c5"/>
    <w:pPr>
      <w:widowControl w:val="false"/>
      <w:suppressLineNumbers/>
      <w:suppressAutoHyphens w:val="true"/>
      <w:spacing w:lineRule="auto" w:line="240" w:before="0" w:after="0"/>
      <w:textAlignment w:val="baseline"/>
    </w:pPr>
    <w:rPr>
      <w:rFonts w:ascii="Times New Roman" w:hAnsi="Times New Roman" w:eastAsia="SimSun" w:cs="Mangal"/>
      <w:kern w:val="2"/>
      <w:sz w:val="24"/>
      <w:szCs w:val="24"/>
      <w:lang w:eastAsia="zh-CN" w:bidi="hi-IN"/>
    </w:rPr>
  </w:style>
  <w:style w:type="paragraph" w:styleId="Style29" w:customStyle="1">
    <w:name w:val="Знак Знак Знак"/>
    <w:basedOn w:val="Normal"/>
    <w:qFormat/>
    <w:rsid w:val="00b65714"/>
    <w:pPr>
      <w:spacing w:lineRule="auto" w:line="240" w:beforeAutospacing="1" w:afterAutospacing="1"/>
    </w:pPr>
    <w:rPr>
      <w:rFonts w:ascii="Tahoma" w:hAnsi="Tahoma" w:eastAsia="Times New Roman" w:cs="Tahoma"/>
      <w:sz w:val="20"/>
      <w:szCs w:val="20"/>
      <w:lang w:val="en-US"/>
    </w:rPr>
  </w:style>
  <w:style w:type="paragraph" w:styleId="13" w:customStyle="1">
    <w:name w:val="Знак Знак Знак1"/>
    <w:basedOn w:val="Normal"/>
    <w:qFormat/>
    <w:rsid w:val="0096180f"/>
    <w:pPr>
      <w:spacing w:lineRule="auto" w:line="240" w:beforeAutospacing="1" w:afterAutospacing="1"/>
    </w:pPr>
    <w:rPr>
      <w:rFonts w:ascii="Tahoma" w:hAnsi="Tahoma" w:eastAsia="Times New Roman" w:cs="Tahoma"/>
      <w:sz w:val="20"/>
      <w:szCs w:val="20"/>
      <w:lang w:val="en-US"/>
    </w:rPr>
  </w:style>
  <w:style w:type="paragraph" w:styleId="NoSpacing">
    <w:name w:val="No Spacing"/>
    <w:qFormat/>
    <w:rsid w:val="0096180f"/>
    <w:pPr>
      <w:widowControl/>
      <w:bidi w:val="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val="ru-RU" w:eastAsia="ru-RU" w:bidi="ar-SA"/>
    </w:rPr>
  </w:style>
  <w:style w:type="paragraph" w:styleId="Style30">
    <w:name w:val="Header"/>
    <w:basedOn w:val="Normal"/>
    <w:link w:val="af1"/>
    <w:uiPriority w:val="99"/>
    <w:unhideWhenUsed/>
    <w:rsid w:val="007d489c"/>
    <w:pPr>
      <w:tabs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31">
    <w:name w:val="Footer"/>
    <w:basedOn w:val="Normal"/>
    <w:link w:val="af3"/>
    <w:uiPriority w:val="99"/>
    <w:unhideWhenUsed/>
    <w:rsid w:val="007d489c"/>
    <w:pPr>
      <w:tabs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14" w:customStyle="1">
    <w:name w:val="Абзац списка1"/>
    <w:basedOn w:val="Normal"/>
    <w:qFormat/>
    <w:rsid w:val="003156db"/>
    <w:pPr>
      <w:spacing w:before="0" w:after="200"/>
      <w:ind w:left="720" w:hanging="0"/>
      <w:contextualSpacing/>
    </w:pPr>
    <w:rPr>
      <w:rFonts w:eastAsia="Times New Roman"/>
    </w:rPr>
  </w:style>
  <w:style w:type="paragraph" w:styleId="ConsPlusNormal1" w:customStyle="1">
    <w:name w:val="ConsPlusNormal"/>
    <w:link w:val="ConsPlusNormal"/>
    <w:qFormat/>
    <w:rsid w:val="00601784"/>
    <w:pPr>
      <w:widowControl w:val="false"/>
      <w:bidi w:val="0"/>
      <w:jc w:val="left"/>
    </w:pPr>
    <w:rPr>
      <w:rFonts w:ascii="Arial" w:hAnsi="Arial" w:eastAsia="Times New Roman" w:cs="Arial"/>
      <w:color w:val="auto"/>
      <w:kern w:val="0"/>
      <w:sz w:val="22"/>
      <w:szCs w:val="22"/>
      <w:lang w:val="ru-RU" w:eastAsia="en-US" w:bidi="ar-SA"/>
    </w:rPr>
  </w:style>
  <w:style w:type="paragraph" w:styleId="ListParagraph">
    <w:name w:val="List Paragraph"/>
    <w:basedOn w:val="Normal"/>
    <w:uiPriority w:val="34"/>
    <w:qFormat/>
    <w:rsid w:val="00f0047b"/>
    <w:pPr>
      <w:spacing w:before="0" w:after="200"/>
      <w:ind w:left="720" w:hanging="0"/>
      <w:contextualSpacing/>
    </w:pPr>
    <w:rPr/>
  </w:style>
  <w:style w:type="paragraph" w:styleId="NormalWeb">
    <w:name w:val="Normal (Web)"/>
    <w:basedOn w:val="Normal"/>
    <w:uiPriority w:val="99"/>
    <w:unhideWhenUsed/>
    <w:qFormat/>
    <w:rsid w:val="00703bf4"/>
    <w:pPr>
      <w:spacing w:lineRule="auto" w:line="240" w:beforeAutospacing="1" w:afterAutospacing="1"/>
    </w:pPr>
    <w:rPr>
      <w:rFonts w:ascii="Times New Roman" w:hAnsi="Times New Roman" w:eastAsia="Calibri" w:eastAsiaTheme="minorHAnsi"/>
      <w:sz w:val="24"/>
      <w:szCs w:val="24"/>
      <w:lang w:eastAsia="ru-RU"/>
    </w:rPr>
  </w:style>
  <w:style w:type="paragraph" w:styleId="ConsPlusTitle" w:customStyle="1">
    <w:name w:val="ConsPlusTitle"/>
    <w:qFormat/>
    <w:rsid w:val="00b75977"/>
    <w:pPr>
      <w:widowControl w:val="false"/>
      <w:suppressAutoHyphens w:val="true"/>
      <w:bidi w:val="0"/>
      <w:jc w:val="left"/>
    </w:pPr>
    <w:rPr>
      <w:rFonts w:ascii="Times New Roman" w:hAnsi="Times New Roman" w:eastAsia="Times New Roman" w:cs="Times New Roman"/>
      <w:b/>
      <w:bCs/>
      <w:color w:val="auto"/>
      <w:kern w:val="0"/>
      <w:sz w:val="24"/>
      <w:szCs w:val="24"/>
      <w:lang w:val="ru-RU" w:eastAsia="zh-CN" w:bidi="ar-SA"/>
    </w:rPr>
  </w:style>
  <w:style w:type="paragraph" w:styleId="15" w:customStyle="1">
    <w:name w:val="Обычный1"/>
    <w:qFormat/>
    <w:rsid w:val="00b75977"/>
    <w:pPr>
      <w:widowControl/>
      <w:suppressAutoHyphens w:val="true"/>
      <w:overflowPunct w:val="true"/>
      <w:bidi w:val="0"/>
      <w:spacing w:lineRule="atLeast" w:line="200"/>
      <w:jc w:val="left"/>
    </w:pPr>
    <w:rPr>
      <w:rFonts w:ascii="Mangal" w:hAnsi="Mangal" w:eastAsia="Tahoma" w:cs="Liberation Sans"/>
      <w:color w:val="000000"/>
      <w:kern w:val="2"/>
      <w:sz w:val="36"/>
      <w:szCs w:val="24"/>
      <w:lang w:val="ru-RU" w:eastAsia="en-US" w:bidi="ar-SA"/>
    </w:rPr>
  </w:style>
  <w:style w:type="paragraph" w:styleId="2" w:customStyle="1">
    <w:name w:val="2"/>
    <w:basedOn w:val="Normal"/>
    <w:uiPriority w:val="99"/>
    <w:unhideWhenUsed/>
    <w:qFormat/>
    <w:rsid w:val="00eb74c5"/>
    <w:pPr>
      <w:spacing w:lineRule="auto" w:line="240" w:beforeAutospacing="1" w:afterAutospacing="1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16" w:customStyle="1">
    <w:name w:val="1"/>
    <w:basedOn w:val="Normal"/>
    <w:uiPriority w:val="99"/>
    <w:unhideWhenUsed/>
    <w:qFormat/>
    <w:rsid w:val="00da173f"/>
    <w:pPr>
      <w:spacing w:lineRule="auto" w:line="240" w:beforeAutospacing="1" w:afterAutospacing="1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Style110" w:customStyle="1">
    <w:name w:val="Style1"/>
    <w:basedOn w:val="Normal"/>
    <w:uiPriority w:val="99"/>
    <w:qFormat/>
    <w:rsid w:val="00da173f"/>
    <w:pPr>
      <w:widowControl w:val="false"/>
      <w:spacing w:lineRule="exact" w:line="317" w:before="0" w:after="0"/>
      <w:jc w:val="both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BodyText21" w:customStyle="1">
    <w:name w:val="Body Text 21"/>
    <w:basedOn w:val="Normal"/>
    <w:qFormat/>
    <w:rsid w:val="006a1844"/>
    <w:pPr>
      <w:spacing w:lineRule="auto" w:line="240" w:before="0" w:after="0"/>
      <w:ind w:firstLine="720"/>
      <w:jc w:val="both"/>
    </w:pPr>
    <w:rPr>
      <w:rFonts w:ascii="Times New Roman" w:hAnsi="Times New Roman" w:eastAsia="Times New Roman"/>
      <w:sz w:val="24"/>
      <w:szCs w:val="20"/>
      <w:lang w:eastAsia="ru-RU"/>
    </w:rPr>
  </w:style>
  <w:style w:type="paragraph" w:styleId="PlainText">
    <w:name w:val="Plain Text"/>
    <w:basedOn w:val="Normal"/>
    <w:link w:val="afa"/>
    <w:uiPriority w:val="99"/>
    <w:semiHidden/>
    <w:unhideWhenUsed/>
    <w:qFormat/>
    <w:rsid w:val="00995c46"/>
    <w:pPr>
      <w:spacing w:lineRule="auto" w:line="240" w:before="0" w:after="0"/>
    </w:pPr>
    <w:rPr>
      <w:rFonts w:ascii="Consolas" w:hAnsi="Consolas" w:eastAsia="Calibri" w:cs="" w:cstheme="minorBidi" w:eastAsiaTheme="minorHAnsi"/>
      <w:sz w:val="21"/>
      <w:szCs w:val="21"/>
    </w:rPr>
  </w:style>
  <w:style w:type="paragraph" w:styleId="17" w:customStyle="1">
    <w:name w:val="Без интервала1"/>
    <w:qFormat/>
    <w:rsid w:val="00821bd4"/>
    <w:pPr>
      <w:widowControl/>
      <w:suppressAutoHyphens w:val="true"/>
      <w:bidi w:val="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val="ru-RU" w:eastAsia="ru-RU" w:bidi="ar-SA"/>
    </w:rPr>
  </w:style>
  <w:style w:type="paragraph" w:styleId="Style32">
    <w:name w:val="Заголовок таблицы"/>
    <w:basedOn w:val="Style28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Table Grid"/>
    <w:basedOn w:val="a1"/>
    <w:uiPriority w:val="39"/>
    <w:rsid w:val="0096180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1B4D0A-CF14-4723-B2A0-A701B16DC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1655</TotalTime>
  <Application>LibreOffice/6.0.4.2$Windows_X86_64 LibreOffice_project/9b0d9b32d5dcda91d2f1a96dc04c645c450872bf</Application>
  <Pages>10</Pages>
  <Words>1994</Words>
  <Characters>14837</Characters>
  <CharactersWithSpaces>16808</CharactersWithSpaces>
  <Paragraphs>194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2019-12-02T14:32:00Z</dcterms:created>
  <dc:creator>Сухорукова Виктория</dc:creator>
  <dc:description/>
  <dc:language>ru-RU</dc:language>
  <cp:lastModifiedBy/>
  <cp:lastPrinted>2020-01-29T15:16:37Z</cp:lastPrinted>
  <dcterms:modified xsi:type="dcterms:W3CDTF">2020-01-29T15:18:13Z</dcterms:modified>
  <cp:revision>85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